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E5" w:rsidRPr="001D66E5" w:rsidRDefault="001D66E5" w:rsidP="001D66E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D66E5">
        <w:rPr>
          <w:rFonts w:ascii="Times New Roman" w:hAnsi="Times New Roman" w:cs="Times New Roman"/>
          <w:i/>
          <w:sz w:val="24"/>
          <w:szCs w:val="24"/>
        </w:rPr>
        <w:t>Córdoba, 16 de noviembre de 2021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1D66E5" w:rsidRDefault="001D66E5" w:rsidP="004E4F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7B17" w:rsidRDefault="004E4F81" w:rsidP="004E4F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4F81">
        <w:rPr>
          <w:rFonts w:ascii="Times New Roman" w:hAnsi="Times New Roman" w:cs="Times New Roman"/>
          <w:b/>
          <w:i/>
          <w:sz w:val="28"/>
          <w:szCs w:val="28"/>
        </w:rPr>
        <w:t>ANEXO II – LEY IMPOSITIVA ANUAL 2022</w:t>
      </w:r>
    </w:p>
    <w:p w:rsidR="004E4F81" w:rsidRDefault="004E4F81" w:rsidP="004E4F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20D" w:rsidRPr="00E0220D" w:rsidRDefault="004E4F81" w:rsidP="00E022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F81">
        <w:rPr>
          <w:rFonts w:ascii="Times New Roman" w:hAnsi="Times New Roman" w:cs="Times New Roman"/>
          <w:b/>
          <w:i/>
          <w:sz w:val="24"/>
          <w:szCs w:val="24"/>
        </w:rPr>
        <w:t>ESTABLÉCESE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220D" w:rsidRPr="00E0220D">
        <w:rPr>
          <w:rFonts w:ascii="Times New Roman" w:hAnsi="Times New Roman" w:cs="Times New Roman"/>
          <w:i/>
          <w:sz w:val="24"/>
          <w:szCs w:val="24"/>
        </w:rPr>
        <w:t>que la liquidación del Impuesto Inmobiliario Urbano edificado, Impuesto Inmobiliario Urbano baldío, Impuesto Inmobiliario Básico Rural, Impuesto a la Propiedad Automotor y el Impuesto a las Embarcaciones, correspondiente a la anualidad 2022 -en todos los casos-, no puede exceder en más del cuarenta y nueve coma cincuenta por ciento (49,50%) el monto de la liquidación efectuada para la anualidad 2021, con excepción del impacto que generen las mejoras incorporadas en dicha liquidación, en caso de corresponder.</w:t>
      </w:r>
    </w:p>
    <w:p w:rsidR="004E4F81" w:rsidRPr="004E4F81" w:rsidRDefault="00E0220D" w:rsidP="00E022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20D">
        <w:rPr>
          <w:rFonts w:ascii="Times New Roman" w:hAnsi="Times New Roman" w:cs="Times New Roman"/>
          <w:i/>
          <w:sz w:val="24"/>
          <w:szCs w:val="24"/>
        </w:rPr>
        <w:t>A los fines del límite dispuesto en el párrafo precedente, deberá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E0220D">
        <w:rPr>
          <w:rFonts w:ascii="Times New Roman" w:hAnsi="Times New Roman" w:cs="Times New Roman"/>
          <w:i/>
          <w:sz w:val="24"/>
          <w:szCs w:val="24"/>
        </w:rPr>
        <w:t xml:space="preserve"> considerarse incluidos aquellos Fondos que se recaudan conjuntamente con los impuestos detallados.</w:t>
      </w:r>
    </w:p>
    <w:sectPr w:rsidR="004E4F81" w:rsidRPr="004E4F81" w:rsidSect="00E0220D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81"/>
    <w:rsid w:val="001D66E5"/>
    <w:rsid w:val="004E4F81"/>
    <w:rsid w:val="00E0220D"/>
    <w:rsid w:val="00E5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DEA3"/>
  <w15:chartTrackingRefBased/>
  <w15:docId w15:val="{22426AF1-3185-4C79-9167-EF78361F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2021-11-17T22:48:00Z</dcterms:created>
  <dcterms:modified xsi:type="dcterms:W3CDTF">2021-11-18T00:43:00Z</dcterms:modified>
</cp:coreProperties>
</file>