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46C" w14:textId="49EA1BC6" w:rsidR="006D5903" w:rsidRPr="00F5288C" w:rsidRDefault="006D5903" w:rsidP="004C6709">
      <w:pPr>
        <w:widowControl w:val="0"/>
        <w:spacing w:after="120" w:line="240" w:lineRule="auto"/>
        <w:jc w:val="right"/>
        <w:rPr>
          <w:rFonts w:ascii="Palatino Linotype" w:hAnsi="Palatino Linotype"/>
          <w:i/>
          <w:sz w:val="24"/>
          <w:szCs w:val="24"/>
        </w:rPr>
      </w:pPr>
      <w:r w:rsidRPr="00F5288C">
        <w:rPr>
          <w:rFonts w:ascii="Palatino Linotype" w:hAnsi="Palatino Linotype"/>
          <w:i/>
          <w:sz w:val="24"/>
          <w:szCs w:val="24"/>
        </w:rPr>
        <w:t xml:space="preserve">Córdoba, </w:t>
      </w:r>
      <w:r w:rsidR="0090050C">
        <w:rPr>
          <w:rFonts w:ascii="Palatino Linotype" w:hAnsi="Palatino Linotype"/>
          <w:i/>
          <w:sz w:val="24"/>
          <w:szCs w:val="24"/>
        </w:rPr>
        <w:t>23</w:t>
      </w:r>
      <w:r w:rsidR="0002713E">
        <w:rPr>
          <w:rFonts w:ascii="Palatino Linotype" w:hAnsi="Palatino Linotype"/>
          <w:i/>
          <w:sz w:val="24"/>
          <w:szCs w:val="24"/>
        </w:rPr>
        <w:t xml:space="preserve"> de mayo</w:t>
      </w:r>
      <w:r w:rsidR="005A58C7">
        <w:rPr>
          <w:rFonts w:ascii="Palatino Linotype" w:hAnsi="Palatino Linotype"/>
          <w:i/>
          <w:sz w:val="24"/>
          <w:szCs w:val="24"/>
        </w:rPr>
        <w:t xml:space="preserve"> de 2023</w:t>
      </w:r>
    </w:p>
    <w:p w14:paraId="46FFA1A5" w14:textId="77777777" w:rsidR="00A53C32" w:rsidRPr="00292198" w:rsidRDefault="00A53C32" w:rsidP="00D0483B">
      <w:pPr>
        <w:pStyle w:val="Textoindependiente"/>
        <w:rPr>
          <w:rFonts w:asciiTheme="majorHAnsi" w:hAnsiTheme="majorHAnsi"/>
          <w:sz w:val="12"/>
        </w:rPr>
      </w:pPr>
    </w:p>
    <w:p w14:paraId="57E90BAF" w14:textId="5022C35C" w:rsidR="00B37234" w:rsidRDefault="00FB2C42" w:rsidP="00421193">
      <w:pPr>
        <w:pStyle w:val="Textoindependiente"/>
        <w:spacing w:after="240"/>
        <w:ind w:left="284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Aumenta </w:t>
      </w:r>
      <w:r w:rsidR="00374CA1" w:rsidRPr="00AA657C">
        <w:rPr>
          <w:rFonts w:asciiTheme="majorHAnsi" w:hAnsiTheme="majorHAnsi"/>
          <w:sz w:val="24"/>
        </w:rPr>
        <w:t>la alícuota</w:t>
      </w:r>
      <w:r w:rsidR="00DB59B3">
        <w:rPr>
          <w:rFonts w:asciiTheme="majorHAnsi" w:hAnsiTheme="majorHAnsi"/>
          <w:sz w:val="24"/>
        </w:rPr>
        <w:t xml:space="preserve"> promedio del Impuesto sobre</w:t>
      </w:r>
      <w:r w:rsidR="00374CA1" w:rsidRPr="00AA657C">
        <w:rPr>
          <w:rFonts w:asciiTheme="majorHAnsi" w:hAnsiTheme="majorHAnsi"/>
          <w:sz w:val="24"/>
        </w:rPr>
        <w:t xml:space="preserve"> </w:t>
      </w:r>
      <w:r w:rsidR="00085464" w:rsidRPr="00AA657C">
        <w:rPr>
          <w:rFonts w:asciiTheme="majorHAnsi" w:hAnsiTheme="majorHAnsi"/>
          <w:sz w:val="24"/>
        </w:rPr>
        <w:t>Ingresos Brutos</w:t>
      </w:r>
    </w:p>
    <w:p w14:paraId="63745334" w14:textId="0C498DE8" w:rsidR="001A0D9F" w:rsidRPr="001A0D9F" w:rsidRDefault="002422DA" w:rsidP="001A0D9F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actualizó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el </w:t>
      </w:r>
      <w:r w:rsidR="00461422" w:rsidRP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 xml:space="preserve">Informe de </w:t>
      </w:r>
      <w:r w:rsid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>Presión Tributaria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al mes de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="0002713E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marzo de 2023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Este informe</w:t>
      </w:r>
      <w:r w:rsidR="00DB59B3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estadístico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, publicado por el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Ministerio de Finanzas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de la provincia de Córdoba,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presenta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datos desagr</w:t>
      </w:r>
      <w:r w:rsidR="000357D1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eg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ados por sectores y jurisdicción de las alícuotas d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Impuesto sobre los Ingresos Brutos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para el período 2017-</w:t>
      </w:r>
      <w:r w:rsidR="0002713E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2023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Los cuadro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la información completa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puede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consultarse</w:t>
      </w:r>
      <w:r w:rsidR="00461422" w:rsidRPr="00A56BE5">
        <w:rPr>
          <w:rFonts w:ascii="Calibri Light" w:hAnsi="Calibri Light"/>
        </w:rPr>
        <w:t xml:space="preserve"> </w:t>
      </w:r>
      <w:hyperlink r:id="rId8" w:history="1">
        <w:r w:rsidR="00461422" w:rsidRPr="00461422">
          <w:rPr>
            <w:rStyle w:val="Hipervnculo"/>
            <w:rFonts w:ascii="Calibri Light" w:hAnsi="Calibri Light" w:cs="Calibri Light"/>
            <w:sz w:val="22"/>
          </w:rPr>
          <w:t>aquí</w:t>
        </w:r>
      </w:hyperlink>
      <w:r w:rsidR="00461422" w:rsidRPr="00461422">
        <w:rPr>
          <w:rFonts w:ascii="Calibri Light" w:hAnsi="Calibri Light" w:cs="Calibri Light"/>
          <w:sz w:val="22"/>
        </w:rPr>
        <w:t>.</w:t>
      </w:r>
      <w:r w:rsidR="00461422">
        <w:rPr>
          <w:rFonts w:ascii="Calibri Light" w:hAnsi="Calibri Light"/>
        </w:rPr>
        <w:t xml:space="preserve"> </w:t>
      </w:r>
    </w:p>
    <w:p w14:paraId="00A8EF8D" w14:textId="3882A557" w:rsidR="001A0D9F" w:rsidRPr="00545ACC" w:rsidRDefault="001A0D9F" w:rsidP="001F527C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informe se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elabora procesando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las declaraciones juradas del Impuesto 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sobre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los Ingresos Brutos que los contribuyentes realizan mensualmente.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incluye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todos l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os contribuyentes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inscriptos en el Convenio Multilateral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(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es decir los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que realizan actividades en más de una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jurisdicción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)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esta información </w:t>
      </w:r>
      <w:r w:rsidR="00545ACC" w:rsidRPr="00545ACC">
        <w:rPr>
          <w:rFonts w:ascii="Calibri Light" w:hAnsi="Calibri Light"/>
          <w:sz w:val="22"/>
          <w:szCs w:val="22"/>
        </w:rPr>
        <w:t>se calculan las alícuotas efectivas promedio</w:t>
      </w:r>
      <w:r w:rsidR="00545ACC">
        <w:rPr>
          <w:rFonts w:ascii="Calibri Light" w:hAnsi="Calibri Light"/>
          <w:sz w:val="22"/>
          <w:szCs w:val="22"/>
        </w:rPr>
        <w:t xml:space="preserve"> </w:t>
      </w:r>
      <w:r w:rsidR="00545ACC" w:rsidRPr="00545ACC">
        <w:rPr>
          <w:rFonts w:ascii="Calibri Light" w:hAnsi="Calibri Light"/>
          <w:sz w:val="22"/>
          <w:szCs w:val="22"/>
        </w:rPr>
        <w:t xml:space="preserve">del Impuesto </w:t>
      </w:r>
      <w:r w:rsidR="00405A0A">
        <w:rPr>
          <w:rFonts w:ascii="Calibri Light" w:hAnsi="Calibri Light"/>
          <w:sz w:val="22"/>
          <w:szCs w:val="22"/>
        </w:rPr>
        <w:t>sobre</w:t>
      </w:r>
      <w:r w:rsidR="00545ACC" w:rsidRPr="00545ACC">
        <w:rPr>
          <w:rFonts w:ascii="Calibri Light" w:hAnsi="Calibri Light"/>
          <w:sz w:val="22"/>
          <w:szCs w:val="22"/>
        </w:rPr>
        <w:t xml:space="preserve"> los Ingresos Brutos</w:t>
      </w:r>
      <w:r w:rsidR="00545ACC" w:rsidRPr="00545ACC">
        <w:rPr>
          <w:rFonts w:ascii="Calibri Light" w:hAnsi="Calibri Light"/>
          <w:sz w:val="22"/>
          <w:szCs w:val="22"/>
          <w:vertAlign w:val="superscript"/>
        </w:rPr>
        <w:footnoteReference w:id="1"/>
      </w:r>
      <w:r w:rsidR="00545ACC" w:rsidRPr="00545ACC">
        <w:rPr>
          <w:rFonts w:ascii="Calibri Light" w:hAnsi="Calibri Light"/>
          <w:sz w:val="22"/>
          <w:szCs w:val="22"/>
        </w:rPr>
        <w:t>.</w:t>
      </w:r>
    </w:p>
    <w:p w14:paraId="31E142A2" w14:textId="6DAB9922" w:rsidR="00C65CEE" w:rsidRDefault="00DB59B3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Considerando la alícuota media para el total del país, e</w:t>
      </w:r>
      <w:r w:rsidR="00F36581">
        <w:rPr>
          <w:rFonts w:ascii="Calibri Light" w:hAnsi="Calibri Light"/>
        </w:rPr>
        <w:t xml:space="preserve">n el </w:t>
      </w:r>
      <w:r w:rsidR="0002713E">
        <w:rPr>
          <w:rFonts w:ascii="Calibri Light" w:hAnsi="Calibri Light"/>
        </w:rPr>
        <w:t>primer trimestre del 2023</w:t>
      </w:r>
      <w:r w:rsidR="00545ACC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se observa</w:t>
      </w:r>
      <w:r w:rsidR="00817A4D">
        <w:rPr>
          <w:rFonts w:ascii="Calibri Light" w:hAnsi="Calibri Light"/>
        </w:rPr>
        <w:t xml:space="preserve"> un </w:t>
      </w:r>
      <w:r w:rsidR="0002713E">
        <w:rPr>
          <w:rFonts w:ascii="Calibri Light" w:hAnsi="Calibri Light"/>
        </w:rPr>
        <w:t>importante</w:t>
      </w:r>
      <w:r w:rsidR="00817A4D">
        <w:rPr>
          <w:rFonts w:ascii="Calibri Light" w:hAnsi="Calibri Light"/>
        </w:rPr>
        <w:t xml:space="preserve"> aumento</w:t>
      </w:r>
      <w:r>
        <w:rPr>
          <w:rFonts w:ascii="Calibri Light" w:hAnsi="Calibri Light"/>
        </w:rPr>
        <w:t xml:space="preserve"> respecto al </w:t>
      </w:r>
      <w:r w:rsidR="0002713E">
        <w:rPr>
          <w:rFonts w:ascii="Calibri Light" w:hAnsi="Calibri Light"/>
        </w:rPr>
        <w:t xml:space="preserve">mismo período del </w:t>
      </w:r>
      <w:r>
        <w:rPr>
          <w:rFonts w:ascii="Calibri Light" w:hAnsi="Calibri Light"/>
        </w:rPr>
        <w:t>año anterior</w:t>
      </w:r>
      <w:r w:rsidR="00A31615">
        <w:rPr>
          <w:rFonts w:ascii="Calibri Light" w:hAnsi="Calibri Light"/>
        </w:rPr>
        <w:t xml:space="preserve">. </w:t>
      </w:r>
      <w:r w:rsidR="00C65CEE">
        <w:rPr>
          <w:rFonts w:ascii="Calibri Light" w:hAnsi="Calibri Light"/>
        </w:rPr>
        <w:t>Es</w:t>
      </w:r>
      <w:r w:rsidR="0055426A">
        <w:rPr>
          <w:rFonts w:ascii="Calibri Light" w:hAnsi="Calibri Light"/>
        </w:rPr>
        <w:t xml:space="preserve">te incremento puede explicarse por </w:t>
      </w:r>
      <w:r w:rsidR="00C65CEE" w:rsidRPr="00C65CEE">
        <w:rPr>
          <w:rFonts w:ascii="Calibri Light" w:hAnsi="Calibri Light"/>
        </w:rPr>
        <w:t>cambios en la</w:t>
      </w:r>
      <w:r w:rsidR="00C65CEE">
        <w:rPr>
          <w:rFonts w:ascii="Calibri Light" w:hAnsi="Calibri Light"/>
        </w:rPr>
        <w:t>s</w:t>
      </w:r>
      <w:r w:rsidR="00C65CEE" w:rsidRPr="00C65CEE">
        <w:rPr>
          <w:rFonts w:ascii="Calibri Light" w:hAnsi="Calibri Light"/>
        </w:rPr>
        <w:t xml:space="preserve"> alícuotas nominales</w:t>
      </w:r>
      <w:r w:rsidR="0055426A">
        <w:rPr>
          <w:rFonts w:ascii="Calibri Light" w:hAnsi="Calibri Light"/>
        </w:rPr>
        <w:t xml:space="preserve"> establecidos en las normas impositivas provinciales para el corriente año</w:t>
      </w:r>
      <w:r w:rsidR="00C65CEE" w:rsidRPr="00C65CEE">
        <w:rPr>
          <w:rFonts w:ascii="Calibri Light" w:hAnsi="Calibri Light"/>
        </w:rPr>
        <w:t xml:space="preserve">. </w:t>
      </w:r>
      <w:r w:rsidR="0055426A">
        <w:rPr>
          <w:rFonts w:ascii="Calibri Light" w:hAnsi="Calibri Light"/>
        </w:rPr>
        <w:t xml:space="preserve">Pero también puede estar asociado a la fuerte </w:t>
      </w:r>
      <w:r w:rsidR="00C65CEE" w:rsidRPr="00C65CEE">
        <w:rPr>
          <w:rFonts w:ascii="Calibri Light" w:hAnsi="Calibri Light"/>
        </w:rPr>
        <w:t>inestabilidad macroeconómica </w:t>
      </w:r>
      <w:r w:rsidR="00240F1C">
        <w:rPr>
          <w:rFonts w:ascii="Calibri Light" w:hAnsi="Calibri Light"/>
        </w:rPr>
        <w:t xml:space="preserve">que </w:t>
      </w:r>
      <w:r w:rsidR="00C65CEE">
        <w:rPr>
          <w:rFonts w:ascii="Calibri Light" w:hAnsi="Calibri Light"/>
        </w:rPr>
        <w:t>transita la Argentina</w:t>
      </w:r>
      <w:r w:rsidR="0055426A">
        <w:rPr>
          <w:rFonts w:ascii="Calibri Light" w:hAnsi="Calibri Light"/>
        </w:rPr>
        <w:t>. La alícuota promedio puede ser alterada por</w:t>
      </w:r>
      <w:r w:rsidR="00476DB4">
        <w:rPr>
          <w:rFonts w:ascii="Calibri Light" w:hAnsi="Calibri Light"/>
        </w:rPr>
        <w:t xml:space="preserve"> el hecho de que en el marco de la crisis</w:t>
      </w:r>
      <w:r w:rsidR="00240F1C">
        <w:rPr>
          <w:rFonts w:ascii="Calibri Light" w:hAnsi="Calibri Light"/>
        </w:rPr>
        <w:t>,</w:t>
      </w:r>
      <w:r w:rsidR="00476DB4">
        <w:rPr>
          <w:rFonts w:ascii="Calibri Light" w:hAnsi="Calibri Light"/>
        </w:rPr>
        <w:t xml:space="preserve"> los</w:t>
      </w:r>
      <w:r w:rsidR="0055426A">
        <w:rPr>
          <w:rFonts w:ascii="Calibri Light" w:hAnsi="Calibri Light"/>
        </w:rPr>
        <w:t xml:space="preserve"> ingresos de sectores </w:t>
      </w:r>
      <w:r w:rsidR="00476DB4">
        <w:rPr>
          <w:rFonts w:ascii="Calibri Light" w:hAnsi="Calibri Light"/>
        </w:rPr>
        <w:t xml:space="preserve">con </w:t>
      </w:r>
      <w:r w:rsidR="0055426A">
        <w:rPr>
          <w:rFonts w:ascii="Calibri Light" w:hAnsi="Calibri Light"/>
        </w:rPr>
        <w:t>diferentes</w:t>
      </w:r>
      <w:r w:rsidR="00476DB4">
        <w:rPr>
          <w:rFonts w:ascii="Calibri Light" w:hAnsi="Calibri Light"/>
        </w:rPr>
        <w:t xml:space="preserve"> alícuotas experimentan aumentos en su</w:t>
      </w:r>
      <w:r w:rsidR="0090050C">
        <w:rPr>
          <w:rFonts w:ascii="Calibri Light" w:hAnsi="Calibri Light"/>
        </w:rPr>
        <w:t>s</w:t>
      </w:r>
      <w:r w:rsidR="00476DB4">
        <w:rPr>
          <w:rFonts w:ascii="Calibri Light" w:hAnsi="Calibri Light"/>
        </w:rPr>
        <w:t xml:space="preserve"> ventas muy dis</w:t>
      </w:r>
      <w:r w:rsidR="0090050C">
        <w:rPr>
          <w:rFonts w:ascii="Calibri Light" w:hAnsi="Calibri Light"/>
        </w:rPr>
        <w:t>í</w:t>
      </w:r>
      <w:r w:rsidR="00476DB4">
        <w:rPr>
          <w:rFonts w:ascii="Calibri Light" w:hAnsi="Calibri Light"/>
        </w:rPr>
        <w:t xml:space="preserve">miles. También puede incidir que muchas provincias contemplan alícuotas diferentes según el nivel de facturación del contribuyente. La aceleración de la inflación muchas veces lleva a que queden desactualizados los topes de las escalas. Bajo esta situación, que no se daría si no hubiera </w:t>
      </w:r>
      <w:r w:rsidR="00240F1C">
        <w:rPr>
          <w:rFonts w:ascii="Calibri Light" w:hAnsi="Calibri Light"/>
        </w:rPr>
        <w:t>inflación</w:t>
      </w:r>
      <w:r w:rsidR="00476DB4">
        <w:rPr>
          <w:rFonts w:ascii="Calibri Light" w:hAnsi="Calibri Light"/>
        </w:rPr>
        <w:t>, los contribuyentes tienden a ubicarse en las escalas de alícuotas más altas</w:t>
      </w:r>
      <w:r w:rsidR="00C65CEE">
        <w:rPr>
          <w:rFonts w:ascii="Calibri Light" w:hAnsi="Calibri Light"/>
        </w:rPr>
        <w:t xml:space="preserve">. </w:t>
      </w:r>
    </w:p>
    <w:p w14:paraId="22722320" w14:textId="4DA79A8F" w:rsidR="00D245FA" w:rsidRDefault="00DB59B3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La serie histórica muestra una </w:t>
      </w:r>
      <w:r w:rsidR="00817A4D">
        <w:rPr>
          <w:rFonts w:ascii="Calibri Light" w:hAnsi="Calibri Light"/>
        </w:rPr>
        <w:t xml:space="preserve">baja </w:t>
      </w:r>
      <w:r>
        <w:rPr>
          <w:rFonts w:ascii="Calibri Light" w:hAnsi="Calibri Light"/>
        </w:rPr>
        <w:t>a partir de</w:t>
      </w:r>
      <w:r w:rsidR="00817A4D">
        <w:rPr>
          <w:rFonts w:ascii="Calibri Light" w:hAnsi="Calibri Light"/>
        </w:rPr>
        <w:t xml:space="preserve"> 2017 como consecuencia de la firma del Consenso Fiscal</w:t>
      </w:r>
      <w:r w:rsidR="00A3161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que </w:t>
      </w:r>
      <w:r w:rsidR="001A12C1">
        <w:rPr>
          <w:rFonts w:ascii="Calibri Light" w:hAnsi="Calibri Light"/>
        </w:rPr>
        <w:t xml:space="preserve">se prolonga </w:t>
      </w:r>
      <w:r w:rsidR="0002713E">
        <w:rPr>
          <w:rFonts w:ascii="Calibri Light" w:hAnsi="Calibri Light"/>
        </w:rPr>
        <w:t xml:space="preserve">sistemáticamente </w:t>
      </w:r>
      <w:r w:rsidR="001A12C1">
        <w:rPr>
          <w:rFonts w:ascii="Calibri Light" w:hAnsi="Calibri Light"/>
        </w:rPr>
        <w:t>hasta</w:t>
      </w:r>
      <w:r w:rsidR="00A31615">
        <w:rPr>
          <w:rFonts w:ascii="Calibri Light" w:hAnsi="Calibri Light"/>
        </w:rPr>
        <w:t xml:space="preserve"> el 2020</w:t>
      </w:r>
      <w:r w:rsidR="00146565">
        <w:rPr>
          <w:rFonts w:ascii="Calibri Light" w:hAnsi="Calibri Light"/>
        </w:rPr>
        <w:t xml:space="preserve"> (la reducción a</w:t>
      </w:r>
      <w:r w:rsidR="00F76450">
        <w:rPr>
          <w:rFonts w:ascii="Calibri Light" w:hAnsi="Calibri Light"/>
        </w:rPr>
        <w:t>cumulada en esos tres</w:t>
      </w:r>
      <w:r w:rsidR="00146565">
        <w:rPr>
          <w:rFonts w:ascii="Calibri Light" w:hAnsi="Calibri Light"/>
        </w:rPr>
        <w:t xml:space="preserve"> años fue del 1</w:t>
      </w:r>
      <w:r w:rsidR="0002713E">
        <w:rPr>
          <w:rFonts w:ascii="Calibri Light" w:hAnsi="Calibri Light"/>
        </w:rPr>
        <w:t>1,7</w:t>
      </w:r>
      <w:r w:rsidR="00146565">
        <w:rPr>
          <w:rFonts w:ascii="Calibri Light" w:hAnsi="Calibri Light"/>
        </w:rPr>
        <w:t>%)</w:t>
      </w:r>
      <w:r>
        <w:rPr>
          <w:rFonts w:ascii="Calibri Light" w:hAnsi="Calibri Light"/>
        </w:rPr>
        <w:t xml:space="preserve">. </w:t>
      </w:r>
      <w:r w:rsidR="001A12C1">
        <w:rPr>
          <w:rFonts w:ascii="Calibri Light" w:hAnsi="Calibri Light"/>
        </w:rPr>
        <w:t xml:space="preserve">Posteriormente, </w:t>
      </w:r>
      <w:r w:rsidR="00146565">
        <w:rPr>
          <w:rFonts w:ascii="Calibri Light" w:hAnsi="Calibri Light"/>
        </w:rPr>
        <w:t xml:space="preserve">en los </w:t>
      </w:r>
      <w:r w:rsidR="001A12C1">
        <w:rPr>
          <w:rFonts w:ascii="Calibri Light" w:hAnsi="Calibri Light"/>
        </w:rPr>
        <w:t>2</w:t>
      </w:r>
      <w:r w:rsidR="00146565">
        <w:rPr>
          <w:rFonts w:ascii="Calibri Light" w:hAnsi="Calibri Light"/>
        </w:rPr>
        <w:t xml:space="preserve"> años</w:t>
      </w:r>
      <w:r w:rsidR="0002713E">
        <w:rPr>
          <w:rFonts w:ascii="Calibri Light" w:hAnsi="Calibri Light"/>
        </w:rPr>
        <w:t xml:space="preserve"> siguiente, la alícuota general promedio se mantiene relativamente estable en lo que refiere a los primeros trimestres de cada año. Para el último año, 2023</w:t>
      </w:r>
      <w:r w:rsidR="001A12C1">
        <w:rPr>
          <w:rFonts w:ascii="Calibri Light" w:hAnsi="Calibri Light"/>
        </w:rPr>
        <w:t>,</w:t>
      </w:r>
      <w:r w:rsidR="00146565">
        <w:rPr>
          <w:rFonts w:ascii="Calibri Light" w:hAnsi="Calibri Light"/>
        </w:rPr>
        <w:t xml:space="preserve"> se registra un</w:t>
      </w:r>
      <w:r w:rsidR="0002713E">
        <w:rPr>
          <w:rFonts w:ascii="Calibri Light" w:hAnsi="Calibri Light"/>
        </w:rPr>
        <w:t>a</w:t>
      </w:r>
      <w:r w:rsidR="00146565">
        <w:rPr>
          <w:rFonts w:ascii="Calibri Light" w:hAnsi="Calibri Light"/>
        </w:rPr>
        <w:t xml:space="preserve"> </w:t>
      </w:r>
      <w:r w:rsidR="0002713E">
        <w:rPr>
          <w:rFonts w:ascii="Calibri Light" w:hAnsi="Calibri Light"/>
        </w:rPr>
        <w:t xml:space="preserve">importante alza, con un aumento del 4,9% en la alícuota general </w:t>
      </w:r>
      <w:r w:rsidR="00146565">
        <w:rPr>
          <w:rFonts w:ascii="Calibri Light" w:hAnsi="Calibri Light"/>
        </w:rPr>
        <w:t>(aumento acumulado de</w:t>
      </w:r>
      <w:r w:rsidR="0002713E">
        <w:rPr>
          <w:rFonts w:ascii="Calibri Light" w:hAnsi="Calibri Light"/>
        </w:rPr>
        <w:t>l</w:t>
      </w:r>
      <w:r w:rsidR="00146565">
        <w:rPr>
          <w:rFonts w:ascii="Calibri Light" w:hAnsi="Calibri Light"/>
        </w:rPr>
        <w:t xml:space="preserve"> </w:t>
      </w:r>
      <w:r w:rsidR="0002713E">
        <w:rPr>
          <w:rFonts w:ascii="Calibri Light" w:hAnsi="Calibri Light"/>
        </w:rPr>
        <w:t>5,6</w:t>
      </w:r>
      <w:r w:rsidR="00146565">
        <w:rPr>
          <w:rFonts w:ascii="Calibri Light" w:hAnsi="Calibri Light"/>
        </w:rPr>
        <w:t>%</w:t>
      </w:r>
      <w:r w:rsidR="0002713E">
        <w:rPr>
          <w:rFonts w:ascii="Calibri Light" w:hAnsi="Calibri Light"/>
        </w:rPr>
        <w:t xml:space="preserve"> desde 2020</w:t>
      </w:r>
      <w:r w:rsidR="00146565">
        <w:rPr>
          <w:rFonts w:ascii="Calibri Light" w:hAnsi="Calibri Light"/>
        </w:rPr>
        <w:t xml:space="preserve">). </w:t>
      </w:r>
      <w:r w:rsidR="00082C49">
        <w:rPr>
          <w:rFonts w:ascii="Calibri Light" w:hAnsi="Calibri Light"/>
        </w:rPr>
        <w:t xml:space="preserve">Como consecuencia de esta trayectoria, la alícuota promedio del impuesto en el 2023 es un 6,8% más baja que en 2017 </w:t>
      </w:r>
      <w:r>
        <w:rPr>
          <w:rFonts w:ascii="Calibri Light" w:hAnsi="Calibri Light"/>
        </w:rPr>
        <w:t>(</w:t>
      </w:r>
      <w:r w:rsidRPr="00D209B1">
        <w:rPr>
          <w:rFonts w:ascii="Calibri Light" w:hAnsi="Calibri Light"/>
          <w:i/>
          <w:iCs/>
        </w:rPr>
        <w:t>Gráfico 1</w:t>
      </w:r>
      <w:r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3D0CB17E" w14:textId="6D4AB186" w:rsidR="00F76450" w:rsidRPr="00F76450" w:rsidRDefault="00F76450" w:rsidP="00F76450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</w:t>
      </w:r>
      <w:r w:rsidR="00EA0EE8">
        <w:rPr>
          <w:rFonts w:ascii="Calibri Light" w:hAnsi="Calibri Light"/>
        </w:rPr>
        <w:t>a información desagrega</w:t>
      </w:r>
      <w:r w:rsidR="00405A0A">
        <w:rPr>
          <w:rFonts w:ascii="Calibri Light" w:hAnsi="Calibri Light"/>
        </w:rPr>
        <w:t>da</w:t>
      </w:r>
      <w:r w:rsidR="00EA0EE8">
        <w:rPr>
          <w:rFonts w:ascii="Calibri Light" w:hAnsi="Calibri Light"/>
        </w:rPr>
        <w:t xml:space="preserve"> p</w:t>
      </w:r>
      <w:r w:rsidR="00D209B1">
        <w:rPr>
          <w:rFonts w:ascii="Calibri Light" w:hAnsi="Calibri Light"/>
        </w:rPr>
        <w:t>or provincias</w:t>
      </w:r>
      <w:r w:rsidR="00EA0EE8">
        <w:rPr>
          <w:rFonts w:ascii="Calibri Light" w:hAnsi="Calibri Light"/>
        </w:rPr>
        <w:t xml:space="preserve"> muestra importantes diferencias</w:t>
      </w:r>
      <w:r w:rsidR="00D209B1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Entre los años 2017 y </w:t>
      </w:r>
      <w:r w:rsidR="0009089C">
        <w:rPr>
          <w:rFonts w:ascii="Calibri Light" w:hAnsi="Calibri Light"/>
        </w:rPr>
        <w:t>2023</w:t>
      </w:r>
      <w:r>
        <w:rPr>
          <w:rFonts w:ascii="Calibri Light" w:hAnsi="Calibri Light"/>
        </w:rPr>
        <w:t xml:space="preserve">, </w:t>
      </w:r>
      <w:r w:rsidR="0009089C">
        <w:rPr>
          <w:rFonts w:ascii="Calibri Light" w:hAnsi="Calibri Light"/>
        </w:rPr>
        <w:t>20</w:t>
      </w:r>
      <w:r>
        <w:rPr>
          <w:rFonts w:ascii="Calibri Light" w:hAnsi="Calibri Light"/>
        </w:rPr>
        <w:t xml:space="preserve"> jurisdicciones han bajado la presión tributaria y </w:t>
      </w:r>
      <w:r w:rsidR="0009089C">
        <w:rPr>
          <w:rFonts w:ascii="Calibri Light" w:hAnsi="Calibri Light"/>
        </w:rPr>
        <w:t>4</w:t>
      </w:r>
      <w:r>
        <w:rPr>
          <w:rFonts w:ascii="Calibri Light" w:hAnsi="Calibri Light"/>
        </w:rPr>
        <w:t xml:space="preserve"> la han aumentado. Las provincias </w:t>
      </w:r>
      <w:r>
        <w:rPr>
          <w:rFonts w:ascii="Calibri Light" w:hAnsi="Calibri Light"/>
        </w:rPr>
        <w:lastRenderedPageBreak/>
        <w:t xml:space="preserve">que más redujeron Ingresos Brutos son </w:t>
      </w:r>
      <w:r w:rsidR="0009089C">
        <w:rPr>
          <w:rFonts w:ascii="Calibri Light" w:hAnsi="Calibri Light"/>
        </w:rPr>
        <w:t>Tierra del Fuego</w:t>
      </w:r>
      <w:r>
        <w:rPr>
          <w:rFonts w:ascii="Calibri Light" w:hAnsi="Calibri Light"/>
        </w:rPr>
        <w:t xml:space="preserve"> (-24,</w:t>
      </w:r>
      <w:r w:rsidR="0009089C">
        <w:rPr>
          <w:rFonts w:ascii="Calibri Light" w:hAnsi="Calibri Light"/>
        </w:rPr>
        <w:t>6</w:t>
      </w:r>
      <w:r>
        <w:rPr>
          <w:rFonts w:ascii="Calibri Light" w:hAnsi="Calibri Light"/>
        </w:rPr>
        <w:t>%)</w:t>
      </w:r>
      <w:r w:rsidR="0009089C">
        <w:rPr>
          <w:rFonts w:ascii="Calibri Light" w:hAnsi="Calibri Light"/>
        </w:rPr>
        <w:t xml:space="preserve"> y</w:t>
      </w:r>
      <w:r>
        <w:rPr>
          <w:rFonts w:ascii="Calibri Light" w:hAnsi="Calibri Light"/>
        </w:rPr>
        <w:t xml:space="preserve"> </w:t>
      </w:r>
      <w:r w:rsidR="0009089C">
        <w:rPr>
          <w:rFonts w:ascii="Calibri Light" w:hAnsi="Calibri Light"/>
        </w:rPr>
        <w:t>Córdoba</w:t>
      </w:r>
      <w:r>
        <w:rPr>
          <w:rFonts w:ascii="Calibri Light" w:hAnsi="Calibri Light"/>
        </w:rPr>
        <w:t xml:space="preserve"> (-2</w:t>
      </w:r>
      <w:r w:rsidR="0009089C">
        <w:rPr>
          <w:rFonts w:ascii="Calibri Light" w:hAnsi="Calibri Light"/>
        </w:rPr>
        <w:t>1,3</w:t>
      </w:r>
      <w:r>
        <w:rPr>
          <w:rFonts w:ascii="Calibri Light" w:hAnsi="Calibri Light"/>
        </w:rPr>
        <w:t>%). Salta, por su parte, es la provincia con mayor aumento en la alícuota promedio de Ingresos Brutos (+1</w:t>
      </w:r>
      <w:r w:rsidR="0009089C">
        <w:rPr>
          <w:rFonts w:ascii="Calibri Light" w:hAnsi="Calibri Light"/>
        </w:rPr>
        <w:t>8,4</w:t>
      </w:r>
      <w:r>
        <w:rPr>
          <w:rFonts w:ascii="Calibri Light" w:hAnsi="Calibri Light"/>
        </w:rPr>
        <w:t>%), seguida por CABA (+1</w:t>
      </w:r>
      <w:r w:rsidR="0009089C">
        <w:rPr>
          <w:rFonts w:ascii="Calibri Light" w:hAnsi="Calibri Light"/>
        </w:rPr>
        <w:t>2,9</w:t>
      </w:r>
      <w:r>
        <w:rPr>
          <w:rFonts w:ascii="Calibri Light" w:hAnsi="Calibri Light"/>
        </w:rPr>
        <w:t xml:space="preserve">%) </w:t>
      </w:r>
      <w:r w:rsidR="00AD7766">
        <w:rPr>
          <w:rFonts w:ascii="Calibri Light" w:hAnsi="Calibri Light"/>
        </w:rPr>
        <w:t>(</w:t>
      </w:r>
      <w:r w:rsidR="00AD7766" w:rsidRPr="009B3FFE">
        <w:rPr>
          <w:rFonts w:ascii="Calibri Light" w:hAnsi="Calibri Light"/>
          <w:i/>
          <w:iCs/>
        </w:rPr>
        <w:t>Gráfico 2</w:t>
      </w:r>
      <w:r w:rsidR="00AD7766"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2AF177E9" w14:textId="37838C41" w:rsidR="00E142A2" w:rsidRDefault="00EA0EE8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Mientras que </w:t>
      </w:r>
      <w:r w:rsidR="00682241">
        <w:rPr>
          <w:rFonts w:ascii="Calibri Light" w:hAnsi="Calibri Light"/>
        </w:rPr>
        <w:t>la</w:t>
      </w:r>
      <w:r>
        <w:rPr>
          <w:rFonts w:ascii="Calibri Light" w:hAnsi="Calibri Light"/>
        </w:rPr>
        <w:t xml:space="preserve"> alícuota promedio para el total del país </w:t>
      </w:r>
      <w:r w:rsidR="001A12C1">
        <w:rPr>
          <w:rFonts w:ascii="Calibri Light" w:hAnsi="Calibri Light"/>
        </w:rPr>
        <w:t xml:space="preserve">en el </w:t>
      </w:r>
      <w:r w:rsidR="006D6D80">
        <w:rPr>
          <w:rFonts w:ascii="Calibri Light" w:hAnsi="Calibri Light"/>
        </w:rPr>
        <w:t>primer trimestre 2023</w:t>
      </w:r>
      <w:r w:rsidR="001A12C1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se calcula en el </w:t>
      </w:r>
      <w:r w:rsidR="00D13811">
        <w:rPr>
          <w:rFonts w:ascii="Calibri Light" w:hAnsi="Calibri Light"/>
        </w:rPr>
        <w:t>3</w:t>
      </w:r>
      <w:r w:rsidR="006D6D80">
        <w:rPr>
          <w:rFonts w:ascii="Calibri Light" w:hAnsi="Calibri Light"/>
        </w:rPr>
        <w:t>,05</w:t>
      </w:r>
      <w:r>
        <w:rPr>
          <w:rFonts w:ascii="Calibri Light" w:hAnsi="Calibri Light"/>
        </w:rPr>
        <w:t xml:space="preserve">%, en los extremos aparecen </w:t>
      </w:r>
      <w:r w:rsidR="00D13811">
        <w:rPr>
          <w:rFonts w:ascii="Calibri Light" w:hAnsi="Calibri Light"/>
        </w:rPr>
        <w:t>Tierra del Fuego</w:t>
      </w:r>
      <w:r>
        <w:rPr>
          <w:rFonts w:ascii="Calibri Light" w:hAnsi="Calibri Light"/>
        </w:rPr>
        <w:t xml:space="preserve"> con </w:t>
      </w:r>
      <w:r w:rsidR="004E7773">
        <w:rPr>
          <w:rFonts w:ascii="Calibri Light" w:hAnsi="Calibri Light"/>
        </w:rPr>
        <w:t xml:space="preserve">la </w:t>
      </w:r>
      <w:r>
        <w:rPr>
          <w:rFonts w:ascii="Calibri Light" w:hAnsi="Calibri Light"/>
        </w:rPr>
        <w:t xml:space="preserve">alícuota promedio más baja </w:t>
      </w:r>
      <w:r w:rsidR="00871059">
        <w:rPr>
          <w:rFonts w:ascii="Calibri Light" w:hAnsi="Calibri Light"/>
        </w:rPr>
        <w:t>de</w:t>
      </w:r>
      <w:r>
        <w:rPr>
          <w:rFonts w:ascii="Calibri Light" w:hAnsi="Calibri Light"/>
        </w:rPr>
        <w:t>l</w:t>
      </w:r>
      <w:r w:rsidR="00871059">
        <w:rPr>
          <w:rFonts w:ascii="Calibri Light" w:hAnsi="Calibri Light"/>
        </w:rPr>
        <w:t xml:space="preserve"> 1,</w:t>
      </w:r>
      <w:r w:rsidR="00D13811">
        <w:rPr>
          <w:rFonts w:ascii="Calibri Light" w:hAnsi="Calibri Light"/>
        </w:rPr>
        <w:t>86</w:t>
      </w:r>
      <w:r w:rsidR="00871059">
        <w:rPr>
          <w:rFonts w:ascii="Calibri Light" w:hAnsi="Calibri Light"/>
        </w:rPr>
        <w:t xml:space="preserve">% </w:t>
      </w:r>
      <w:r w:rsidR="002B5C14">
        <w:rPr>
          <w:rFonts w:ascii="Calibri Light" w:hAnsi="Calibri Light"/>
        </w:rPr>
        <w:t xml:space="preserve">y Misiones con la alícuota </w:t>
      </w:r>
      <w:r w:rsidR="004E7773">
        <w:rPr>
          <w:rFonts w:ascii="Calibri Light" w:hAnsi="Calibri Light"/>
        </w:rPr>
        <w:t>media</w:t>
      </w:r>
      <w:r w:rsidR="002B5C14">
        <w:rPr>
          <w:rFonts w:ascii="Calibri Light" w:hAnsi="Calibri Light"/>
        </w:rPr>
        <w:t xml:space="preserve"> más alta del </w:t>
      </w:r>
      <w:r w:rsidR="00E142A2">
        <w:rPr>
          <w:rFonts w:ascii="Calibri Light" w:hAnsi="Calibri Light"/>
        </w:rPr>
        <w:t>3,</w:t>
      </w:r>
      <w:r w:rsidR="00D13811">
        <w:rPr>
          <w:rFonts w:ascii="Calibri Light" w:hAnsi="Calibri Light"/>
        </w:rPr>
        <w:t>8</w:t>
      </w:r>
      <w:r w:rsidR="006D6D80">
        <w:rPr>
          <w:rFonts w:ascii="Calibri Light" w:hAnsi="Calibri Light"/>
        </w:rPr>
        <w:t>1</w:t>
      </w:r>
      <w:r w:rsidR="00E142A2">
        <w:rPr>
          <w:rFonts w:ascii="Calibri Light" w:hAnsi="Calibri Light"/>
        </w:rPr>
        <w:t xml:space="preserve">%. </w:t>
      </w:r>
      <w:r w:rsidR="002B5C14">
        <w:rPr>
          <w:rFonts w:ascii="Calibri Light" w:hAnsi="Calibri Light"/>
        </w:rPr>
        <w:t>De las provincias más grande</w:t>
      </w:r>
      <w:r w:rsidR="00405A0A">
        <w:rPr>
          <w:rFonts w:ascii="Calibri Light" w:hAnsi="Calibri Light"/>
        </w:rPr>
        <w:t>s,</w:t>
      </w:r>
      <w:r w:rsidR="002B5C14">
        <w:rPr>
          <w:rFonts w:ascii="Calibri Light" w:hAnsi="Calibri Light"/>
        </w:rPr>
        <w:t xml:space="preserve"> Santa Fe y </w:t>
      </w:r>
      <w:r w:rsidR="00E142A2">
        <w:rPr>
          <w:rFonts w:ascii="Calibri Light" w:hAnsi="Calibri Light"/>
        </w:rPr>
        <w:t xml:space="preserve">Córdoba </w:t>
      </w:r>
      <w:r w:rsidR="002B5C14">
        <w:rPr>
          <w:rFonts w:ascii="Calibri Light" w:hAnsi="Calibri Light"/>
        </w:rPr>
        <w:t>tienen las alícuotas más baja</w:t>
      </w:r>
      <w:r w:rsidR="00405A0A">
        <w:rPr>
          <w:rFonts w:ascii="Calibri Light" w:hAnsi="Calibri Light"/>
        </w:rPr>
        <w:t>s</w:t>
      </w:r>
      <w:r w:rsidR="002B5C14">
        <w:rPr>
          <w:rFonts w:ascii="Calibri Light" w:hAnsi="Calibri Light"/>
        </w:rPr>
        <w:t>, luego Buenos Aires también por debajo del promedio, mientras que Mendoza y CABA tiene</w:t>
      </w:r>
      <w:r w:rsidR="00405A0A">
        <w:rPr>
          <w:rFonts w:ascii="Calibri Light" w:hAnsi="Calibri Light"/>
        </w:rPr>
        <w:t>n</w:t>
      </w:r>
      <w:r w:rsidR="002B5C14">
        <w:rPr>
          <w:rFonts w:ascii="Calibri Light" w:hAnsi="Calibri Light"/>
        </w:rPr>
        <w:t xml:space="preserve"> presión tributaria por encima de la media</w:t>
      </w:r>
      <w:r w:rsidR="004E7773">
        <w:rPr>
          <w:rFonts w:ascii="Calibri Light" w:hAnsi="Calibri Light"/>
        </w:rPr>
        <w:t xml:space="preserve"> nacional</w:t>
      </w:r>
      <w:r w:rsidR="00E142A2">
        <w:rPr>
          <w:rFonts w:ascii="Calibri Light" w:hAnsi="Calibri Light"/>
        </w:rPr>
        <w:t>.</w:t>
      </w:r>
      <w:r w:rsidR="00D43F78">
        <w:rPr>
          <w:rFonts w:ascii="Calibri Light" w:hAnsi="Calibri Light"/>
        </w:rPr>
        <w:t xml:space="preserve"> </w:t>
      </w:r>
      <w:r w:rsidR="00AD7766">
        <w:rPr>
          <w:rFonts w:ascii="Calibri Light" w:hAnsi="Calibri Light"/>
        </w:rPr>
        <w:t xml:space="preserve">Estas </w:t>
      </w:r>
      <w:r w:rsidR="00421193">
        <w:rPr>
          <w:rFonts w:ascii="Calibri Light" w:hAnsi="Calibri Light"/>
        </w:rPr>
        <w:t>5</w:t>
      </w:r>
      <w:r w:rsidR="00AD7766">
        <w:rPr>
          <w:rFonts w:ascii="Calibri Light" w:hAnsi="Calibri Light"/>
        </w:rPr>
        <w:t xml:space="preserve"> jurisdicciones (en don</w:t>
      </w:r>
      <w:r w:rsidR="001A12C1">
        <w:rPr>
          <w:rFonts w:ascii="Calibri Light" w:hAnsi="Calibri Light"/>
        </w:rPr>
        <w:t>d</w:t>
      </w:r>
      <w:r w:rsidR="00AD7766">
        <w:rPr>
          <w:rFonts w:ascii="Calibri Light" w:hAnsi="Calibri Light"/>
        </w:rPr>
        <w:t xml:space="preserve">e </w:t>
      </w:r>
      <w:r w:rsidR="001A12C1">
        <w:rPr>
          <w:rFonts w:ascii="Calibri Light" w:hAnsi="Calibri Light"/>
        </w:rPr>
        <w:t>s</w:t>
      </w:r>
      <w:r w:rsidR="00AD7766">
        <w:rPr>
          <w:rFonts w:ascii="Calibri Light" w:hAnsi="Calibri Light"/>
        </w:rPr>
        <w:t xml:space="preserve">e genera </w:t>
      </w:r>
      <w:r w:rsidR="00421193">
        <w:rPr>
          <w:rFonts w:ascii="Calibri Light" w:hAnsi="Calibri Light"/>
        </w:rPr>
        <w:t>más d</w:t>
      </w:r>
      <w:r w:rsidR="00AD7766">
        <w:rPr>
          <w:rFonts w:ascii="Calibri Light" w:hAnsi="Calibri Light"/>
        </w:rPr>
        <w:t xml:space="preserve">el </w:t>
      </w:r>
      <w:r w:rsidR="00421193">
        <w:rPr>
          <w:rFonts w:ascii="Calibri Light" w:hAnsi="Calibri Light"/>
        </w:rPr>
        <w:t>70</w:t>
      </w:r>
      <w:r w:rsidR="00AD7766">
        <w:rPr>
          <w:rFonts w:ascii="Calibri Light" w:hAnsi="Calibri Light"/>
        </w:rPr>
        <w:t xml:space="preserve">% el PBI nacional) muestran comportamientos diferentes en los últimos años. </w:t>
      </w:r>
      <w:r w:rsidR="00682241">
        <w:rPr>
          <w:rFonts w:ascii="Calibri Light" w:hAnsi="Calibri Light"/>
        </w:rPr>
        <w:t xml:space="preserve">Buenos Aires y CABA </w:t>
      </w:r>
      <w:r w:rsidR="001D3B15">
        <w:rPr>
          <w:rFonts w:ascii="Calibri Light" w:hAnsi="Calibri Light"/>
        </w:rPr>
        <w:t>muestran aumento de su alícuota promedio de Ingresos Brutos desde años anteriores (Buenos Aires desde 2022 y CABA desde 2021 en la comparación del primer trimestre de cada año) a Córdoba, Santa Fe y Mendoza, para quienes se presenta una alícuota promedio en aumento recién en el 2023</w:t>
      </w:r>
      <w:r w:rsidR="00021741">
        <w:rPr>
          <w:rFonts w:ascii="Calibri Light" w:hAnsi="Calibri Light"/>
        </w:rPr>
        <w:t>.</w:t>
      </w:r>
    </w:p>
    <w:p w14:paraId="7AA1F954" w14:textId="133DB3BD" w:rsidR="0009089C" w:rsidRDefault="000F55DD" w:rsidP="00582254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A</w:t>
      </w:r>
      <w:r w:rsidR="00A20B2A">
        <w:rPr>
          <w:rFonts w:ascii="Calibri Light" w:hAnsi="Calibri Light"/>
        </w:rPr>
        <w:t xml:space="preserve">nexo se presenta información detallada de alícuotas medias por provincia para los </w:t>
      </w:r>
      <w:r w:rsidR="000501F1">
        <w:rPr>
          <w:rFonts w:ascii="Calibri Light" w:hAnsi="Calibri Light"/>
        </w:rPr>
        <w:t xml:space="preserve">4 </w:t>
      </w:r>
      <w:r w:rsidR="00A20B2A">
        <w:rPr>
          <w:rFonts w:ascii="Calibri Light" w:hAnsi="Calibri Light"/>
        </w:rPr>
        <w:t>principales sectores económicos</w:t>
      </w:r>
      <w:r w:rsidR="000501F1">
        <w:rPr>
          <w:rFonts w:ascii="Calibri Light" w:hAnsi="Calibri Light"/>
        </w:rPr>
        <w:t xml:space="preserve"> a nivel país (estos 4 sectores explica</w:t>
      </w:r>
      <w:r w:rsidR="00D75545">
        <w:rPr>
          <w:rFonts w:ascii="Calibri Light" w:hAnsi="Calibri Light"/>
        </w:rPr>
        <w:t>ro</w:t>
      </w:r>
      <w:r w:rsidR="000501F1">
        <w:rPr>
          <w:rFonts w:ascii="Calibri Light" w:hAnsi="Calibri Light"/>
        </w:rPr>
        <w:t>n el 5</w:t>
      </w:r>
      <w:r w:rsidR="00751DD2">
        <w:rPr>
          <w:rFonts w:ascii="Calibri Light" w:hAnsi="Calibri Light"/>
        </w:rPr>
        <w:t>7</w:t>
      </w:r>
      <w:r w:rsidR="000501F1">
        <w:rPr>
          <w:rFonts w:ascii="Calibri Light" w:hAnsi="Calibri Light"/>
        </w:rPr>
        <w:t>% del PBI</w:t>
      </w:r>
      <w:r w:rsidR="00751DD2">
        <w:rPr>
          <w:rFonts w:ascii="Calibri Light" w:hAnsi="Calibri Light"/>
        </w:rPr>
        <w:t xml:space="preserve"> 2022</w:t>
      </w:r>
      <w:r w:rsidR="000501F1">
        <w:rPr>
          <w:rFonts w:ascii="Calibri Light" w:hAnsi="Calibri Light"/>
        </w:rPr>
        <w:t>).</w:t>
      </w:r>
      <w:r w:rsidR="002B5C14">
        <w:rPr>
          <w:rFonts w:ascii="Calibri Light" w:hAnsi="Calibri Light"/>
        </w:rPr>
        <w:t xml:space="preserve"> </w:t>
      </w:r>
    </w:p>
    <w:p w14:paraId="65407D96" w14:textId="77777777" w:rsidR="0009089C" w:rsidRDefault="0009089C" w:rsidP="0009089C">
      <w:pPr>
        <w:shd w:val="clear" w:color="auto" w:fill="FFFFFF"/>
        <w:jc w:val="both"/>
        <w:rPr>
          <w:rFonts w:ascii="Calibri Light" w:hAnsi="Calibri Light"/>
        </w:rPr>
      </w:pPr>
    </w:p>
    <w:p w14:paraId="56B3ECCB" w14:textId="7256B950" w:rsidR="00F36581" w:rsidRPr="001F527C" w:rsidRDefault="0002713E" w:rsidP="0010513D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D209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27E5D" wp14:editId="33977894">
                <wp:simplePos x="0" y="0"/>
                <wp:positionH relativeFrom="margin">
                  <wp:posOffset>3132773</wp:posOffset>
                </wp:positionH>
                <wp:positionV relativeFrom="paragraph">
                  <wp:posOffset>-320992</wp:posOffset>
                </wp:positionV>
                <wp:extent cx="1035603" cy="2325306"/>
                <wp:effectExtent l="2857" t="0" r="34608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34395">
                          <a:off x="0" y="0"/>
                          <a:ext cx="1035603" cy="2325306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B262" id="Forma 20" o:spid="_x0000_s1026" style="position:absolute;margin-left:246.7pt;margin-top:-25.25pt;width:81.55pt;height:183.1pt;rotation:549890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35603,2325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" path="m,2325306c115067,1291837,376398,559885,783993,129450l769407,r266196,165341l832866,563214,818281,433763c445361,562947,172601,1193461,,2325306xe" fillcolor="#92d050" stroked="f" strokeweight="2pt">
                <v:path arrowok="t" o:connecttype="custom" o:connectlocs="0,2325306;783993,129450;769407,0;1035603,165341;832866,563214;818281,433763;0,2325306" o:connectangles="0,0,0,0,0,0,0"/>
                <w10:wrap anchorx="margin"/>
              </v:shape>
            </w:pict>
          </mc:Fallback>
        </mc:AlternateContent>
      </w:r>
      <w:r w:rsidRPr="00D209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3C533" wp14:editId="0B1A3D69">
                <wp:simplePos x="0" y="0"/>
                <wp:positionH relativeFrom="margin">
                  <wp:posOffset>1434783</wp:posOffset>
                </wp:positionH>
                <wp:positionV relativeFrom="paragraph">
                  <wp:posOffset>192723</wp:posOffset>
                </wp:positionV>
                <wp:extent cx="1294447" cy="1829435"/>
                <wp:effectExtent l="0" t="953" r="0" b="317"/>
                <wp:wrapNone/>
                <wp:docPr id="5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4447" cy="1829435"/>
                        </a:xfrm>
                        <a:prstGeom prst="swooshArrow">
                          <a:avLst>
                            <a:gd name="adj1" fmla="val 13087"/>
                            <a:gd name="adj2" fmla="val 16989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5869" id="Forma 20" o:spid="_x0000_s1026" style="position:absolute;margin-left:113pt;margin-top:15.2pt;width:101.9pt;height:144.0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294447,182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" path="m,1829435c143827,1016353,502005,460477,1074533,161806l1056302,r238145,190043l1119740,563030,1101509,401224c582911,502859,215741,978930,,1829435xe" fillcolor="#92d050" stroked="f" strokeweight="2pt">
                <v:path arrowok="t" o:connecttype="custom" o:connectlocs="0,1829435;1074533,161806;1056302,0;1294447,190043;1119740,563030;1101509,401224;0,1829435" o:connectangles="0,0,0,0,0,0,0"/>
                <w10:wrap anchorx="margin"/>
              </v:shape>
            </w:pict>
          </mc:Fallback>
        </mc:AlternateConten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Gráfico 1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lícuota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efectiva promedio del Impuesto sobre los Ingresos Brutos</w:t>
      </w:r>
    </w:p>
    <w:p w14:paraId="4F9009E7" w14:textId="5F1F266D" w:rsidR="00F36581" w:rsidRPr="000F55DD" w:rsidRDefault="00F36581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FF0000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Años 2017-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</w:t>
      </w:r>
      <w:r w:rsidR="0002713E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3, promedio acumulado a marzo de cada año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43E1A0B" w14:textId="7993AC4F" w:rsidR="00F36581" w:rsidRDefault="0002713E" w:rsidP="007649CE">
      <w:pPr>
        <w:spacing w:after="120" w:line="240" w:lineRule="auto"/>
        <w:jc w:val="center"/>
      </w:pP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A572D" wp14:editId="7A86F16C">
                <wp:simplePos x="0" y="0"/>
                <wp:positionH relativeFrom="margin">
                  <wp:posOffset>3586480</wp:posOffset>
                </wp:positionH>
                <wp:positionV relativeFrom="paragraph">
                  <wp:posOffset>400050</wp:posOffset>
                </wp:positionV>
                <wp:extent cx="606485" cy="1347203"/>
                <wp:effectExtent l="0" t="0" r="0" b="0"/>
                <wp:wrapNone/>
                <wp:docPr id="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43099" flipH="1">
                          <a:off x="0" y="0"/>
                          <a:ext cx="606485" cy="1347203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47BA" id="Forma 20" o:spid="_x0000_s1026" style="position:absolute;margin-left:282.4pt;margin-top:31.5pt;width:47.75pt;height:106.1pt;rotation:-6600676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06485,13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" path="m,1347203c67387,748446,220432,324649,459133,75811l450592,,606485,96605,487540,327930r-8541,-75811c260747,326964,101081,691992,,1347203xe" fillcolor="#c00000" stroked="f" strokeweight="2pt">
                <v:path arrowok="t" o:connecttype="custom" o:connectlocs="0,1347203;459133,75811;450592,0;606485,96605;487540,327930;478999,252119;0,1347203" o:connectangles="0,0,0,0,0,0,0"/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881D7" wp14:editId="571FD968">
                <wp:simplePos x="0" y="0"/>
                <wp:positionH relativeFrom="rightMargin">
                  <wp:posOffset>-2244090</wp:posOffset>
                </wp:positionH>
                <wp:positionV relativeFrom="paragraph">
                  <wp:posOffset>695325</wp:posOffset>
                </wp:positionV>
                <wp:extent cx="586740" cy="461645"/>
                <wp:effectExtent l="0" t="0" r="3810" b="0"/>
                <wp:wrapNone/>
                <wp:docPr id="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3DED0" w14:textId="27A7203D" w:rsidR="00587962" w:rsidRPr="00587962" w:rsidRDefault="00587962" w:rsidP="00587962">
                            <w:pPr>
                              <w:pStyle w:val="Revisin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5,6</w:t>
                            </w:r>
                            <w:r w:rsidRPr="00587962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2881D7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76.7pt;margin-top:54.75pt;width:46.2pt;height:36.35pt;z-index:25166438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" filled="f" stroked="f" strokeweight="2pt">
                <v:textbox style="mso-fit-shape-to-text:t" inset="0,0,0,0">
                  <w:txbxContent>
                    <w:p w14:paraId="6053DED0" w14:textId="27A7203D" w:rsidR="00587962" w:rsidRPr="00587962" w:rsidRDefault="00587962" w:rsidP="00587962">
                      <w:pPr>
                        <w:pStyle w:val="Revisin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5,6</w:t>
                      </w:r>
                      <w:r w:rsidRPr="00587962"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BB33F" wp14:editId="050874BC">
                <wp:simplePos x="0" y="0"/>
                <wp:positionH relativeFrom="rightMargin">
                  <wp:posOffset>-1356995</wp:posOffset>
                </wp:positionH>
                <wp:positionV relativeFrom="paragraph">
                  <wp:posOffset>6350</wp:posOffset>
                </wp:positionV>
                <wp:extent cx="586740" cy="461645"/>
                <wp:effectExtent l="0" t="0" r="381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D06EA" w14:textId="1D67943D" w:rsidR="00D209B1" w:rsidRPr="00D209B1" w:rsidRDefault="00D209B1" w:rsidP="00D209B1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6,8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CBB33F" id="_x0000_s1027" type="#_x0000_t202" style="position:absolute;left:0;text-align:left;margin-left:-106.85pt;margin-top:.5pt;width:46.2pt;height:36.35pt;z-index:2516602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" filled="f" stroked="f" strokeweight="2pt">
                <v:textbox style="mso-fit-shape-to-text:t" inset="0,0,0,0">
                  <w:txbxContent>
                    <w:p w14:paraId="600D06EA" w14:textId="1D67943D" w:rsidR="00D209B1" w:rsidRPr="00D209B1" w:rsidRDefault="00D209B1" w:rsidP="00D209B1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6,8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7CF4F" wp14:editId="443D4309">
                <wp:simplePos x="0" y="0"/>
                <wp:positionH relativeFrom="rightMargin">
                  <wp:posOffset>-3034665</wp:posOffset>
                </wp:positionH>
                <wp:positionV relativeFrom="paragraph">
                  <wp:posOffset>309245</wp:posOffset>
                </wp:positionV>
                <wp:extent cx="6553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5A984" w14:textId="796DB8DC" w:rsidR="003863FA" w:rsidRPr="00D209B1" w:rsidRDefault="003863FA" w:rsidP="003863FA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1,7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B7CF4F" id="_x0000_s1028" type="#_x0000_t202" style="position:absolute;left:0;text-align:left;margin-left:-238.95pt;margin-top:24.35pt;width:51.6pt;height:36.35pt;z-index:2516684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" filled="f" stroked="f" strokeweight="2pt">
                <v:textbox style="mso-fit-shape-to-text:t" inset="0,0,0,0">
                  <w:txbxContent>
                    <w:p w14:paraId="1A35A984" w14:textId="796DB8DC" w:rsidR="003863FA" w:rsidRPr="00D209B1" w:rsidRDefault="003863FA" w:rsidP="003863FA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1,7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13E">
        <w:rPr>
          <w:noProof/>
          <w:lang w:val="en-US" w:eastAsia="en-US"/>
        </w:rPr>
        <w:drawing>
          <wp:inline distT="0" distB="0" distL="0" distR="0" wp14:anchorId="3DF31F20" wp14:editId="15266AE1">
            <wp:extent cx="4998720" cy="2803084"/>
            <wp:effectExtent l="0" t="0" r="0" b="0"/>
            <wp:docPr id="4146784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89"/>
                    <a:stretch/>
                  </pic:blipFill>
                  <pic:spPr bwMode="auto">
                    <a:xfrm>
                      <a:off x="0" y="0"/>
                      <a:ext cx="5017501" cy="28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093D5" w14:textId="74819C48" w:rsidR="00AD7766" w:rsidRDefault="003C7AB9" w:rsidP="003C7AB9">
      <w:pPr>
        <w:ind w:right="49"/>
        <w:jc w:val="both"/>
        <w:rPr>
          <w:rFonts w:ascii="Calibri Light" w:hAnsi="Calibri Light" w:cs="Calibri Light"/>
          <w:i/>
          <w:sz w:val="18"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F36581" w:rsidRPr="001F527C">
        <w:rPr>
          <w:rFonts w:ascii="Calibri Light" w:hAnsi="Calibri Light" w:cs="Calibri Light"/>
          <w:i/>
          <w:sz w:val="18"/>
        </w:rPr>
        <w:t>.</w:t>
      </w:r>
    </w:p>
    <w:p w14:paraId="66843D0D" w14:textId="4F410613" w:rsidR="00AD7766" w:rsidRPr="001F527C" w:rsidRDefault="00AD7766" w:rsidP="007649CE">
      <w:pPr>
        <w:spacing w:after="120" w:line="240" w:lineRule="auto"/>
        <w:ind w:right="49"/>
        <w:jc w:val="center"/>
        <w:rPr>
          <w:rFonts w:ascii="Franklin Gothic Book" w:hAnsi="Franklin Gothic Book"/>
          <w:b/>
          <w:i/>
          <w:iCs/>
        </w:rPr>
      </w:pPr>
      <w:r w:rsidRPr="001F527C">
        <w:rPr>
          <w:rFonts w:ascii="Franklin Gothic Book" w:hAnsi="Franklin Gothic Book"/>
          <w:b/>
        </w:rPr>
        <w:lastRenderedPageBreak/>
        <w:t xml:space="preserve">Gráfico </w:t>
      </w:r>
      <w:r>
        <w:rPr>
          <w:rFonts w:ascii="Franklin Gothic Book" w:hAnsi="Franklin Gothic Book"/>
          <w:b/>
        </w:rPr>
        <w:t>2.</w:t>
      </w:r>
      <w:r w:rsidRPr="001F527C">
        <w:rPr>
          <w:rFonts w:ascii="Franklin Gothic Book" w:hAnsi="Franklin Gothic Book"/>
          <w:b/>
        </w:rPr>
        <w:t xml:space="preserve"> Variación de las alícuotas promedio por provincia</w:t>
      </w:r>
    </w:p>
    <w:p w14:paraId="51BFAD4A" w14:textId="32C0B742" w:rsidR="00EE7940" w:rsidRDefault="00EE7940" w:rsidP="00EE7940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V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ariación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 2023 respecto al promedio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17 (acumulado a marzo de cada año)</w:t>
      </w:r>
    </w:p>
    <w:p w14:paraId="46A4100C" w14:textId="162D61E2" w:rsidR="00AD7766" w:rsidRDefault="0009089C" w:rsidP="007649CE">
      <w:pPr>
        <w:spacing w:after="120" w:line="240" w:lineRule="auto"/>
        <w:jc w:val="center"/>
      </w:pPr>
      <w:r w:rsidRPr="0009089C">
        <w:rPr>
          <w:noProof/>
          <w:lang w:val="en-US" w:eastAsia="en-US"/>
        </w:rPr>
        <w:drawing>
          <wp:inline distT="0" distB="0" distL="0" distR="0" wp14:anchorId="17C87B98" wp14:editId="2E5BEBE2">
            <wp:extent cx="5943882" cy="3276600"/>
            <wp:effectExtent l="0" t="0" r="0" b="0"/>
            <wp:docPr id="96728600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46"/>
                    <a:stretch/>
                  </pic:blipFill>
                  <pic:spPr bwMode="auto">
                    <a:xfrm>
                      <a:off x="0" y="0"/>
                      <a:ext cx="5944801" cy="32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87E25" w14:textId="77777777" w:rsidR="00AD7766" w:rsidRDefault="00AD7766" w:rsidP="00AD77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23DC067E" w14:textId="0274EDBA" w:rsidR="00AD7766" w:rsidRDefault="003C7AB9" w:rsidP="003C7AB9">
      <w:pPr>
        <w:ind w:right="49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AD7766">
        <w:rPr>
          <w:rFonts w:ascii="Calibri Light" w:hAnsi="Calibri Light" w:cs="Calibri Light"/>
          <w:i/>
          <w:sz w:val="18"/>
        </w:rPr>
        <w:t>.</w:t>
      </w:r>
    </w:p>
    <w:p w14:paraId="5D8801DF" w14:textId="190A6F22" w:rsidR="00433A77" w:rsidRPr="001F527C" w:rsidRDefault="007649CE" w:rsidP="0010513D">
      <w:pPr>
        <w:pStyle w:val="Descripcin"/>
        <w:keepNext/>
        <w:spacing w:before="360"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G</w:t>
      </w:r>
      <w:r w:rsidR="003470F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ráfico 3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lícuotas </w:t>
      </w:r>
      <w:r w:rsidR="00F2798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efectivas promedio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</w:p>
    <w:p w14:paraId="7CF863ED" w14:textId="2D25E459" w:rsidR="006D6D80" w:rsidRPr="001F527C" w:rsidRDefault="006D6D80" w:rsidP="006D6D80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7299A2D8" w14:textId="2906E104" w:rsidR="00433A77" w:rsidRDefault="006D6D80" w:rsidP="006D6D80">
      <w:pPr>
        <w:spacing w:after="60"/>
        <w:ind w:left="-284"/>
        <w:jc w:val="center"/>
      </w:pPr>
      <w:r w:rsidRPr="006D6D80">
        <w:rPr>
          <w:noProof/>
          <w:lang w:val="en-US" w:eastAsia="en-US"/>
        </w:rPr>
        <w:drawing>
          <wp:inline distT="0" distB="0" distL="0" distR="0" wp14:anchorId="34B1B3B8" wp14:editId="093DEB94">
            <wp:extent cx="6040424" cy="3116580"/>
            <wp:effectExtent l="0" t="0" r="0" b="7620"/>
            <wp:docPr id="55727857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1"/>
                    <a:stretch/>
                  </pic:blipFill>
                  <pic:spPr bwMode="auto">
                    <a:xfrm>
                      <a:off x="0" y="0"/>
                      <a:ext cx="6042077" cy="311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672A4" w14:textId="13A40FAF" w:rsidR="00871059" w:rsidRDefault="00871059" w:rsidP="0010513D">
      <w:pPr>
        <w:spacing w:after="60" w:line="240" w:lineRule="auto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5540983" w14:textId="12DDD49B" w:rsidR="00F36581" w:rsidRDefault="003C7AB9" w:rsidP="003C7AB9">
      <w:pPr>
        <w:spacing w:line="240" w:lineRule="auto"/>
        <w:ind w:right="49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871059">
        <w:rPr>
          <w:rFonts w:ascii="Calibri Light" w:hAnsi="Calibri Light" w:cs="Calibri Light"/>
          <w:i/>
          <w:sz w:val="18"/>
        </w:rPr>
        <w:t>.</w:t>
      </w:r>
    </w:p>
    <w:p w14:paraId="033AB4AB" w14:textId="77777777" w:rsidR="001F527C" w:rsidRPr="001F527C" w:rsidRDefault="001F527C" w:rsidP="001F527C">
      <w:pPr>
        <w:spacing w:after="0"/>
        <w:rPr>
          <w:rFonts w:ascii="Calibri Light" w:hAnsi="Calibri Light" w:cs="Calibri Light"/>
          <w:i/>
          <w:sz w:val="18"/>
        </w:rPr>
      </w:pPr>
    </w:p>
    <w:p w14:paraId="7C00F778" w14:textId="77777777" w:rsidR="00DB73C6" w:rsidRDefault="00DB73C6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i/>
          <w:iCs/>
        </w:rPr>
        <w:br w:type="page"/>
      </w:r>
    </w:p>
    <w:p w14:paraId="75F8E588" w14:textId="0A238A64" w:rsidR="001F527C" w:rsidRPr="001F527C" w:rsidRDefault="003470F7" w:rsidP="007649CE">
      <w:pPr>
        <w:pStyle w:val="Descripcin"/>
        <w:keepNext/>
        <w:jc w:val="both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ANEXO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– Alícuotas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efectivas promedio </w:t>
      </w:r>
      <w:r w:rsidR="00415966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para los 4 principales sectores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de actividad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 nivel nacional</w:t>
      </w:r>
    </w:p>
    <w:p w14:paraId="005732F8" w14:textId="1E88200F" w:rsidR="00DB73C6" w:rsidRPr="001F527C" w:rsidRDefault="00DB73C6" w:rsidP="00DB73C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A1.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P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Agricultura, Ganadería, Caza, Silvicultura y Pesca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</w:p>
    <w:p w14:paraId="397D00E9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54B3661E" w14:textId="7C51978D" w:rsidR="00DB73C6" w:rsidRDefault="005B6CFD" w:rsidP="00DB73C6">
      <w:pPr>
        <w:spacing w:after="60"/>
        <w:ind w:left="-851"/>
        <w:jc w:val="center"/>
      </w:pPr>
      <w:r w:rsidRPr="005B6CFD">
        <w:rPr>
          <w:noProof/>
          <w:lang w:val="en-US" w:eastAsia="en-US"/>
        </w:rPr>
        <w:drawing>
          <wp:inline distT="0" distB="0" distL="0" distR="0" wp14:anchorId="2015F53F" wp14:editId="32BD1ACB">
            <wp:extent cx="6322901" cy="3253740"/>
            <wp:effectExtent l="0" t="0" r="1905" b="3810"/>
            <wp:docPr id="195810980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69"/>
                    <a:stretch/>
                  </pic:blipFill>
                  <pic:spPr bwMode="auto">
                    <a:xfrm>
                      <a:off x="0" y="0"/>
                      <a:ext cx="6335687" cy="32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7401" w14:textId="77777777" w:rsidR="00DB73C6" w:rsidRDefault="00DB73C6" w:rsidP="00DB73C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73078B" w14:textId="363DEA6D" w:rsidR="00556C7F" w:rsidRDefault="003C7AB9" w:rsidP="003C7AB9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DB73C6">
        <w:rPr>
          <w:rFonts w:ascii="Calibri Light" w:hAnsi="Calibri Light" w:cs="Calibri Light"/>
          <w:i/>
          <w:sz w:val="18"/>
        </w:rPr>
        <w:t>.</w:t>
      </w:r>
    </w:p>
    <w:p w14:paraId="1A624103" w14:textId="78882E0C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522D8D08" w14:textId="4B91CC46" w:rsidR="00D263D6" w:rsidRPr="001F527C" w:rsidRDefault="00D263D6" w:rsidP="00D263D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A2.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2C243F" w:rsidRPr="002C243F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Industria Manufacturera (excluye industria papelera)</w:t>
      </w:r>
    </w:p>
    <w:p w14:paraId="0B98C323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5F13A01E" w14:textId="7F5FCE33" w:rsidR="00D263D6" w:rsidRDefault="005B6CFD" w:rsidP="00D263D6">
      <w:pPr>
        <w:spacing w:after="60"/>
        <w:ind w:left="-851"/>
        <w:jc w:val="center"/>
      </w:pPr>
      <w:r w:rsidRPr="005B6CFD">
        <w:rPr>
          <w:noProof/>
          <w:lang w:val="en-US" w:eastAsia="en-US"/>
        </w:rPr>
        <w:drawing>
          <wp:inline distT="0" distB="0" distL="0" distR="0" wp14:anchorId="0EA61668" wp14:editId="07BD398F">
            <wp:extent cx="6439181" cy="3322320"/>
            <wp:effectExtent l="0" t="0" r="0" b="0"/>
            <wp:docPr id="181536242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1"/>
                    <a:stretch/>
                  </pic:blipFill>
                  <pic:spPr bwMode="auto">
                    <a:xfrm>
                      <a:off x="0" y="0"/>
                      <a:ext cx="6441519" cy="33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8734" w14:textId="77777777" w:rsidR="00D263D6" w:rsidRDefault="00D263D6" w:rsidP="00D263D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09398360" w14:textId="475A9970" w:rsidR="00D263D6" w:rsidRDefault="003C7AB9" w:rsidP="003C7AB9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D263D6">
        <w:rPr>
          <w:rFonts w:ascii="Calibri Light" w:hAnsi="Calibri Light" w:cs="Calibri Light"/>
          <w:i/>
          <w:sz w:val="18"/>
        </w:rPr>
        <w:t>.</w:t>
      </w:r>
    </w:p>
    <w:p w14:paraId="1B5B809E" w14:textId="77777777" w:rsidR="00D263D6" w:rsidRDefault="00D263D6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08DB9AEA" w14:textId="4087FCC1" w:rsidR="00415966" w:rsidRPr="001F527C" w:rsidRDefault="00415966" w:rsidP="0041596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3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263D6" w:rsidRP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Comercio al por mayor y menor, reparaciones (excluye comercio por comisión)</w:t>
      </w:r>
    </w:p>
    <w:p w14:paraId="7E82DD0B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10D180A4" w14:textId="262A0419" w:rsidR="00415966" w:rsidRDefault="007812E5" w:rsidP="00794249">
      <w:pPr>
        <w:tabs>
          <w:tab w:val="left" w:pos="8789"/>
        </w:tabs>
        <w:spacing w:after="60"/>
        <w:ind w:left="-851"/>
        <w:jc w:val="center"/>
      </w:pPr>
      <w:r w:rsidRPr="007812E5">
        <w:rPr>
          <w:noProof/>
          <w:lang w:val="en-US" w:eastAsia="en-US"/>
        </w:rPr>
        <w:drawing>
          <wp:inline distT="0" distB="0" distL="0" distR="0" wp14:anchorId="5FC3B6BE" wp14:editId="0C4657FF">
            <wp:extent cx="6434851" cy="3337560"/>
            <wp:effectExtent l="0" t="0" r="4445" b="0"/>
            <wp:docPr id="52439668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/>
                  </pic:blipFill>
                  <pic:spPr bwMode="auto">
                    <a:xfrm>
                      <a:off x="0" y="0"/>
                      <a:ext cx="6441956" cy="3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0C7CD" w14:textId="77777777" w:rsidR="00415966" w:rsidRDefault="00415966" w:rsidP="004159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3DF476" w14:textId="6DB14910" w:rsidR="00415966" w:rsidRDefault="003C7AB9" w:rsidP="003C7AB9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415966">
        <w:rPr>
          <w:rFonts w:ascii="Calibri Light" w:hAnsi="Calibri Light" w:cs="Calibri Light"/>
          <w:i/>
          <w:sz w:val="18"/>
        </w:rPr>
        <w:t>.</w:t>
      </w:r>
    </w:p>
    <w:p w14:paraId="1F8BA4E0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7F747685" w14:textId="09C366D2" w:rsidR="00EC0A4B" w:rsidRPr="001F527C" w:rsidRDefault="00EC0A4B" w:rsidP="00EC0A4B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A4.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55D92" w:rsidRPr="00455D92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Actividades inmobiliarias, empresariales y de alquiler</w:t>
      </w:r>
    </w:p>
    <w:p w14:paraId="7D66EC33" w14:textId="77777777" w:rsidR="00751DD2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6684C9F6" w14:textId="637D3537" w:rsidR="00526556" w:rsidRPr="00526556" w:rsidRDefault="00526556" w:rsidP="00526556">
      <w:r w:rsidRPr="00526556">
        <w:rPr>
          <w:noProof/>
          <w:lang w:val="en-US" w:eastAsia="en-US"/>
        </w:rPr>
        <w:drawing>
          <wp:inline distT="0" distB="0" distL="0" distR="0" wp14:anchorId="3E1E70CA" wp14:editId="3F624E95">
            <wp:extent cx="6024570" cy="3116580"/>
            <wp:effectExtent l="0" t="0" r="0" b="7620"/>
            <wp:docPr id="204444722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53"/>
                    <a:stretch/>
                  </pic:blipFill>
                  <pic:spPr bwMode="auto">
                    <a:xfrm>
                      <a:off x="0" y="0"/>
                      <a:ext cx="6027327" cy="31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CE0B4" w14:textId="1BEF0F8B" w:rsidR="00EC0A4B" w:rsidRDefault="00EC0A4B" w:rsidP="00EC0A4B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2885363B" w14:textId="302EE93D" w:rsidR="00EC0A4B" w:rsidRDefault="003C7AB9" w:rsidP="003C7AB9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EC0A4B">
        <w:rPr>
          <w:rFonts w:ascii="Calibri Light" w:hAnsi="Calibri Light" w:cs="Calibri Light"/>
          <w:i/>
          <w:sz w:val="18"/>
        </w:rPr>
        <w:t>.</w:t>
      </w:r>
    </w:p>
    <w:p w14:paraId="59C7D061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sectPr w:rsidR="00556C7F" w:rsidSect="00014AF3">
      <w:headerReference w:type="default" r:id="rId16"/>
      <w:footerReference w:type="default" r:id="rId1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1A4C" w14:textId="77777777" w:rsidR="001813EE" w:rsidRDefault="001813EE" w:rsidP="006D5903">
      <w:pPr>
        <w:spacing w:after="0" w:line="240" w:lineRule="auto"/>
      </w:pPr>
      <w:r>
        <w:separator/>
      </w:r>
    </w:p>
  </w:endnote>
  <w:endnote w:type="continuationSeparator" w:id="0">
    <w:p w14:paraId="304CFEB6" w14:textId="77777777" w:rsidR="001813EE" w:rsidRDefault="001813EE" w:rsidP="006D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B43B22">
      <w:tc>
        <w:tcPr>
          <w:tcW w:w="918" w:type="dxa"/>
        </w:tcPr>
        <w:p w14:paraId="088D7916" w14:textId="68488455" w:rsidR="000D662F" w:rsidRDefault="000D662F" w:rsidP="000D662F">
          <w:pPr>
            <w:pStyle w:val="Piedepgina"/>
            <w:jc w:val="right"/>
            <w:rPr>
              <w:b/>
              <w:color w:val="53AAE0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40F1C" w:rsidRPr="00240F1C">
            <w:rPr>
              <w:b/>
              <w:noProof/>
              <w:color w:val="53AAE0" w:themeColor="accent1"/>
              <w:sz w:val="32"/>
              <w:szCs w:val="32"/>
            </w:rPr>
            <w:t>1</w:t>
          </w:r>
          <w:r>
            <w:rPr>
              <w:b/>
              <w:noProof/>
              <w:color w:val="53AAE0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9003" w14:textId="77777777" w:rsidR="001813EE" w:rsidRDefault="001813EE" w:rsidP="006D5903">
      <w:pPr>
        <w:spacing w:after="0" w:line="240" w:lineRule="auto"/>
      </w:pPr>
      <w:r>
        <w:separator/>
      </w:r>
    </w:p>
  </w:footnote>
  <w:footnote w:type="continuationSeparator" w:id="0">
    <w:p w14:paraId="5A51C08F" w14:textId="77777777" w:rsidR="001813EE" w:rsidRDefault="001813EE" w:rsidP="006D5903">
      <w:pPr>
        <w:spacing w:after="0" w:line="240" w:lineRule="auto"/>
      </w:pPr>
      <w:r>
        <w:continuationSeparator/>
      </w:r>
    </w:p>
  </w:footnote>
  <w:footnote w:id="1">
    <w:p w14:paraId="20F70725" w14:textId="758358CE" w:rsidR="00545ACC" w:rsidRPr="00582254" w:rsidRDefault="00545ACC" w:rsidP="00545ACC">
      <w:pPr>
        <w:pStyle w:val="Textonotapie"/>
        <w:jc w:val="both"/>
        <w:rPr>
          <w:rFonts w:ascii="Calibri Light" w:hAnsi="Calibri Light" w:cs="Calibri Light"/>
          <w:sz w:val="18"/>
          <w:szCs w:val="18"/>
        </w:rPr>
      </w:pPr>
      <w:r w:rsidRPr="00582254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2254">
        <w:rPr>
          <w:rFonts w:ascii="Calibri Light" w:hAnsi="Calibri Light" w:cs="Calibri Light"/>
          <w:sz w:val="18"/>
          <w:szCs w:val="18"/>
        </w:rPr>
        <w:t xml:space="preserve"> La alícuota efectiva promedio surge de dividir el impuesto determinado por cada contribuyente sobre la base imponible declarada, incluyéndose ventas gravadas y exentas.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D064" w14:textId="0E8AE54E" w:rsidR="000D662F" w:rsidRDefault="009F2973" w:rsidP="00C07A6C">
    <w:pPr>
      <w:pStyle w:val="Encabezado"/>
      <w:tabs>
        <w:tab w:val="clear" w:pos="4419"/>
        <w:tab w:val="clear" w:pos="8838"/>
      </w:tabs>
      <w:ind w:right="-801"/>
      <w:jc w:val="right"/>
    </w:pPr>
    <w:r w:rsidRPr="009F2973">
      <w:t xml:space="preserve"> </w:t>
    </w:r>
    <w:r w:rsidR="00C07A6C" w:rsidRPr="00C07A6C">
      <w:rPr>
        <w:noProof/>
        <w:lang w:val="en-US" w:eastAsia="en-US"/>
      </w:rPr>
      <w:drawing>
        <wp:inline distT="0" distB="0" distL="0" distR="0" wp14:anchorId="0DC2B89B" wp14:editId="6894BB3C">
          <wp:extent cx="1379696" cy="527326"/>
          <wp:effectExtent l="0" t="0" r="0" b="6350"/>
          <wp:docPr id="31" name="Imagen 31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="00C07A6C" w:rsidRPr="00C07A6C">
      <w:t xml:space="preserve"> </w:t>
    </w:r>
    <w:r w:rsidR="00C07A6C" w:rsidRPr="00C07A6C">
      <w:rPr>
        <w:noProof/>
        <w:lang w:val="en-US" w:eastAsia="en-US"/>
      </w:rPr>
      <w:drawing>
        <wp:inline distT="0" distB="0" distL="0" distR="0" wp14:anchorId="1EC85BB1" wp14:editId="3713190A">
          <wp:extent cx="2498155" cy="616488"/>
          <wp:effectExtent l="0" t="0" r="0" b="0"/>
          <wp:docPr id="32" name="Imagen 32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A6C" w:rsidRPr="00C07A6C">
      <w:t xml:space="preserve"> </w:t>
    </w:r>
  </w:p>
  <w:p w14:paraId="5D06803B" w14:textId="429D83EE" w:rsidR="000D662F" w:rsidRDefault="009F2973" w:rsidP="00843893">
    <w:pPr>
      <w:pStyle w:val="Encabezado"/>
      <w:tabs>
        <w:tab w:val="clear" w:pos="4419"/>
        <w:tab w:val="clear" w:pos="8838"/>
        <w:tab w:val="left" w:pos="2230"/>
      </w:tabs>
    </w:pPr>
    <w:r w:rsidRPr="009F2973">
      <w:rPr>
        <w:noProof/>
        <w:lang w:val="en-US" w:eastAsia="en-US"/>
      </w:rPr>
      <w:drawing>
        <wp:inline distT="0" distB="0" distL="0" distR="0" wp14:anchorId="2FDB0FC3" wp14:editId="01A03015">
          <wp:extent cx="6156000" cy="55807"/>
          <wp:effectExtent l="0" t="0" r="0" b="1905"/>
          <wp:docPr id="33" name="Imagen 33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D66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B74"/>
    <w:multiLevelType w:val="hybridMultilevel"/>
    <w:tmpl w:val="02C835EE"/>
    <w:lvl w:ilvl="0" w:tplc="C5CE0DBE">
      <w:start w:val="1"/>
      <w:numFmt w:val="bullet"/>
      <w:lvlText w:val="⁻"/>
      <w:lvlJc w:val="left"/>
      <w:pPr>
        <w:ind w:left="928" w:hanging="360"/>
      </w:pPr>
      <w:rPr>
        <w:rFonts w:ascii="Calibri Light" w:hAnsi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60B5"/>
    <w:multiLevelType w:val="hybridMultilevel"/>
    <w:tmpl w:val="8C681218"/>
    <w:lvl w:ilvl="0" w:tplc="2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F357C4"/>
    <w:multiLevelType w:val="hybridMultilevel"/>
    <w:tmpl w:val="6076EBA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6A5B4D"/>
    <w:multiLevelType w:val="hybridMultilevel"/>
    <w:tmpl w:val="C12ADED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650874">
    <w:abstractNumId w:val="2"/>
  </w:num>
  <w:num w:numId="2" w16cid:durableId="2072848788">
    <w:abstractNumId w:val="3"/>
  </w:num>
  <w:num w:numId="3" w16cid:durableId="345668296">
    <w:abstractNumId w:val="5"/>
  </w:num>
  <w:num w:numId="4" w16cid:durableId="966424263">
    <w:abstractNumId w:val="6"/>
  </w:num>
  <w:num w:numId="5" w16cid:durableId="1772815977">
    <w:abstractNumId w:val="4"/>
  </w:num>
  <w:num w:numId="6" w16cid:durableId="1063406931">
    <w:abstractNumId w:val="0"/>
  </w:num>
  <w:num w:numId="7" w16cid:durableId="141401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6838"/>
    <w:rsid w:val="00006EE4"/>
    <w:rsid w:val="00014AF3"/>
    <w:rsid w:val="00021741"/>
    <w:rsid w:val="00022F70"/>
    <w:rsid w:val="00022FA5"/>
    <w:rsid w:val="0002430F"/>
    <w:rsid w:val="00024548"/>
    <w:rsid w:val="0002476D"/>
    <w:rsid w:val="0002713E"/>
    <w:rsid w:val="00035634"/>
    <w:rsid w:val="000357D1"/>
    <w:rsid w:val="00036200"/>
    <w:rsid w:val="00043081"/>
    <w:rsid w:val="000501F1"/>
    <w:rsid w:val="00051588"/>
    <w:rsid w:val="000579D2"/>
    <w:rsid w:val="00057E44"/>
    <w:rsid w:val="0006446D"/>
    <w:rsid w:val="0007113F"/>
    <w:rsid w:val="00080F49"/>
    <w:rsid w:val="0008128E"/>
    <w:rsid w:val="00082C49"/>
    <w:rsid w:val="00082C77"/>
    <w:rsid w:val="00085464"/>
    <w:rsid w:val="0009089C"/>
    <w:rsid w:val="0009205C"/>
    <w:rsid w:val="00093CC2"/>
    <w:rsid w:val="00093CE1"/>
    <w:rsid w:val="00095374"/>
    <w:rsid w:val="000B1457"/>
    <w:rsid w:val="000B3F69"/>
    <w:rsid w:val="000C0B77"/>
    <w:rsid w:val="000D0781"/>
    <w:rsid w:val="000D19C1"/>
    <w:rsid w:val="000D662F"/>
    <w:rsid w:val="000D68E1"/>
    <w:rsid w:val="000E1FFF"/>
    <w:rsid w:val="000E715C"/>
    <w:rsid w:val="000F3BA3"/>
    <w:rsid w:val="000F55DD"/>
    <w:rsid w:val="000F5996"/>
    <w:rsid w:val="000F7699"/>
    <w:rsid w:val="001026B2"/>
    <w:rsid w:val="001035D9"/>
    <w:rsid w:val="0010513D"/>
    <w:rsid w:val="001063D4"/>
    <w:rsid w:val="001147D5"/>
    <w:rsid w:val="00115AFA"/>
    <w:rsid w:val="00116FA4"/>
    <w:rsid w:val="001202F3"/>
    <w:rsid w:val="00121881"/>
    <w:rsid w:val="00124862"/>
    <w:rsid w:val="00124AB3"/>
    <w:rsid w:val="00125BB7"/>
    <w:rsid w:val="0012623F"/>
    <w:rsid w:val="00131A94"/>
    <w:rsid w:val="00132DD7"/>
    <w:rsid w:val="00136170"/>
    <w:rsid w:val="00140DAF"/>
    <w:rsid w:val="001410AA"/>
    <w:rsid w:val="0014126E"/>
    <w:rsid w:val="001445AF"/>
    <w:rsid w:val="00144E55"/>
    <w:rsid w:val="00146565"/>
    <w:rsid w:val="001505C4"/>
    <w:rsid w:val="001513C9"/>
    <w:rsid w:val="00151913"/>
    <w:rsid w:val="00151919"/>
    <w:rsid w:val="0015193E"/>
    <w:rsid w:val="00167432"/>
    <w:rsid w:val="001724A4"/>
    <w:rsid w:val="001732FA"/>
    <w:rsid w:val="00176125"/>
    <w:rsid w:val="0017619B"/>
    <w:rsid w:val="001761F1"/>
    <w:rsid w:val="001764FB"/>
    <w:rsid w:val="00180235"/>
    <w:rsid w:val="001813EE"/>
    <w:rsid w:val="001866E5"/>
    <w:rsid w:val="001A0D9F"/>
    <w:rsid w:val="001A12C1"/>
    <w:rsid w:val="001A2E5C"/>
    <w:rsid w:val="001A2EFB"/>
    <w:rsid w:val="001A3CCC"/>
    <w:rsid w:val="001A59CB"/>
    <w:rsid w:val="001A7AB8"/>
    <w:rsid w:val="001A7DB1"/>
    <w:rsid w:val="001A7E57"/>
    <w:rsid w:val="001B2F89"/>
    <w:rsid w:val="001B30D4"/>
    <w:rsid w:val="001B40B9"/>
    <w:rsid w:val="001B511E"/>
    <w:rsid w:val="001B53FB"/>
    <w:rsid w:val="001C33DA"/>
    <w:rsid w:val="001C6D23"/>
    <w:rsid w:val="001D1B9B"/>
    <w:rsid w:val="001D3B15"/>
    <w:rsid w:val="001D5347"/>
    <w:rsid w:val="001D7180"/>
    <w:rsid w:val="001E03E1"/>
    <w:rsid w:val="001E1197"/>
    <w:rsid w:val="001E2F81"/>
    <w:rsid w:val="001E729A"/>
    <w:rsid w:val="001E7A13"/>
    <w:rsid w:val="001F1392"/>
    <w:rsid w:val="001F29AB"/>
    <w:rsid w:val="001F4BDA"/>
    <w:rsid w:val="001F527C"/>
    <w:rsid w:val="00200540"/>
    <w:rsid w:val="00204DAF"/>
    <w:rsid w:val="00204E2F"/>
    <w:rsid w:val="00205A9D"/>
    <w:rsid w:val="00207CF9"/>
    <w:rsid w:val="00215B34"/>
    <w:rsid w:val="002161DC"/>
    <w:rsid w:val="00223358"/>
    <w:rsid w:val="002308E6"/>
    <w:rsid w:val="00230CDB"/>
    <w:rsid w:val="00236D62"/>
    <w:rsid w:val="00240F1C"/>
    <w:rsid w:val="0024106A"/>
    <w:rsid w:val="002422DA"/>
    <w:rsid w:val="00247B68"/>
    <w:rsid w:val="00247E3A"/>
    <w:rsid w:val="00252AE0"/>
    <w:rsid w:val="00256348"/>
    <w:rsid w:val="00264CB5"/>
    <w:rsid w:val="00276FD7"/>
    <w:rsid w:val="00282765"/>
    <w:rsid w:val="00284774"/>
    <w:rsid w:val="002868F3"/>
    <w:rsid w:val="00292198"/>
    <w:rsid w:val="002970EF"/>
    <w:rsid w:val="002A3A35"/>
    <w:rsid w:val="002A3C27"/>
    <w:rsid w:val="002A418D"/>
    <w:rsid w:val="002A439E"/>
    <w:rsid w:val="002A7955"/>
    <w:rsid w:val="002A7A11"/>
    <w:rsid w:val="002B2FB6"/>
    <w:rsid w:val="002B5C14"/>
    <w:rsid w:val="002B6C18"/>
    <w:rsid w:val="002C243F"/>
    <w:rsid w:val="002C6913"/>
    <w:rsid w:val="002C6EF4"/>
    <w:rsid w:val="002D5AC2"/>
    <w:rsid w:val="002E03CE"/>
    <w:rsid w:val="002E0576"/>
    <w:rsid w:val="002E0F57"/>
    <w:rsid w:val="002E10FD"/>
    <w:rsid w:val="002E1A24"/>
    <w:rsid w:val="002E33C8"/>
    <w:rsid w:val="002E481C"/>
    <w:rsid w:val="002F5C4A"/>
    <w:rsid w:val="002F6DE2"/>
    <w:rsid w:val="00302451"/>
    <w:rsid w:val="003061FC"/>
    <w:rsid w:val="00311963"/>
    <w:rsid w:val="00313542"/>
    <w:rsid w:val="003161D0"/>
    <w:rsid w:val="00320C9E"/>
    <w:rsid w:val="00321078"/>
    <w:rsid w:val="00322517"/>
    <w:rsid w:val="00326575"/>
    <w:rsid w:val="00332720"/>
    <w:rsid w:val="003362B8"/>
    <w:rsid w:val="00343D05"/>
    <w:rsid w:val="00346745"/>
    <w:rsid w:val="003470F7"/>
    <w:rsid w:val="00353443"/>
    <w:rsid w:val="003566BA"/>
    <w:rsid w:val="0036580F"/>
    <w:rsid w:val="00374CA1"/>
    <w:rsid w:val="00375D21"/>
    <w:rsid w:val="003863FA"/>
    <w:rsid w:val="00387BD3"/>
    <w:rsid w:val="00387DAB"/>
    <w:rsid w:val="00390E95"/>
    <w:rsid w:val="00392175"/>
    <w:rsid w:val="00392471"/>
    <w:rsid w:val="0039300F"/>
    <w:rsid w:val="00393ABB"/>
    <w:rsid w:val="00394BD4"/>
    <w:rsid w:val="003A14C0"/>
    <w:rsid w:val="003A3469"/>
    <w:rsid w:val="003A42D7"/>
    <w:rsid w:val="003A5245"/>
    <w:rsid w:val="003B39AE"/>
    <w:rsid w:val="003C7AB9"/>
    <w:rsid w:val="003D1520"/>
    <w:rsid w:val="003F125D"/>
    <w:rsid w:val="003F22F7"/>
    <w:rsid w:val="003F3A73"/>
    <w:rsid w:val="003F400F"/>
    <w:rsid w:val="003F66E2"/>
    <w:rsid w:val="003F73A3"/>
    <w:rsid w:val="003F7A49"/>
    <w:rsid w:val="004002D4"/>
    <w:rsid w:val="004006E0"/>
    <w:rsid w:val="0040082A"/>
    <w:rsid w:val="00405A0A"/>
    <w:rsid w:val="004128A2"/>
    <w:rsid w:val="00412F1D"/>
    <w:rsid w:val="004143CC"/>
    <w:rsid w:val="00415966"/>
    <w:rsid w:val="00420791"/>
    <w:rsid w:val="00420D96"/>
    <w:rsid w:val="00421193"/>
    <w:rsid w:val="00433A77"/>
    <w:rsid w:val="00433A90"/>
    <w:rsid w:val="00434B36"/>
    <w:rsid w:val="004414EA"/>
    <w:rsid w:val="004442B0"/>
    <w:rsid w:val="0045372F"/>
    <w:rsid w:val="00455D92"/>
    <w:rsid w:val="004560B0"/>
    <w:rsid w:val="00456FFC"/>
    <w:rsid w:val="004571B0"/>
    <w:rsid w:val="00457839"/>
    <w:rsid w:val="00460FA3"/>
    <w:rsid w:val="00461422"/>
    <w:rsid w:val="004617E9"/>
    <w:rsid w:val="00465AD6"/>
    <w:rsid w:val="004664F6"/>
    <w:rsid w:val="00471EFF"/>
    <w:rsid w:val="00476DB4"/>
    <w:rsid w:val="00484D38"/>
    <w:rsid w:val="00487F41"/>
    <w:rsid w:val="00491014"/>
    <w:rsid w:val="004955D2"/>
    <w:rsid w:val="00497FEF"/>
    <w:rsid w:val="004A76ED"/>
    <w:rsid w:val="004A7A10"/>
    <w:rsid w:val="004B42FC"/>
    <w:rsid w:val="004B4F97"/>
    <w:rsid w:val="004B5486"/>
    <w:rsid w:val="004B55BB"/>
    <w:rsid w:val="004C075A"/>
    <w:rsid w:val="004C1082"/>
    <w:rsid w:val="004C5742"/>
    <w:rsid w:val="004C6709"/>
    <w:rsid w:val="004D1EA8"/>
    <w:rsid w:val="004D21F7"/>
    <w:rsid w:val="004D34C5"/>
    <w:rsid w:val="004D3B25"/>
    <w:rsid w:val="004D54C7"/>
    <w:rsid w:val="004E0DA8"/>
    <w:rsid w:val="004E3405"/>
    <w:rsid w:val="004E3641"/>
    <w:rsid w:val="004E48C7"/>
    <w:rsid w:val="004E7773"/>
    <w:rsid w:val="004F0143"/>
    <w:rsid w:val="004F1FAD"/>
    <w:rsid w:val="004F24B2"/>
    <w:rsid w:val="004F4F56"/>
    <w:rsid w:val="004F5163"/>
    <w:rsid w:val="004F5EE4"/>
    <w:rsid w:val="004F791B"/>
    <w:rsid w:val="00502936"/>
    <w:rsid w:val="00502A64"/>
    <w:rsid w:val="00504323"/>
    <w:rsid w:val="0051067F"/>
    <w:rsid w:val="00512500"/>
    <w:rsid w:val="00514106"/>
    <w:rsid w:val="005159D0"/>
    <w:rsid w:val="005163AC"/>
    <w:rsid w:val="00517521"/>
    <w:rsid w:val="00517986"/>
    <w:rsid w:val="00517CB8"/>
    <w:rsid w:val="00520921"/>
    <w:rsid w:val="005218B2"/>
    <w:rsid w:val="00524D39"/>
    <w:rsid w:val="00526556"/>
    <w:rsid w:val="00531134"/>
    <w:rsid w:val="00534C85"/>
    <w:rsid w:val="00544AAD"/>
    <w:rsid w:val="00545ACC"/>
    <w:rsid w:val="005505B5"/>
    <w:rsid w:val="0055426A"/>
    <w:rsid w:val="00554863"/>
    <w:rsid w:val="00554EEC"/>
    <w:rsid w:val="0055596F"/>
    <w:rsid w:val="00556C7F"/>
    <w:rsid w:val="00561560"/>
    <w:rsid w:val="0056496F"/>
    <w:rsid w:val="0056542A"/>
    <w:rsid w:val="00573661"/>
    <w:rsid w:val="00582254"/>
    <w:rsid w:val="00582625"/>
    <w:rsid w:val="00582F2B"/>
    <w:rsid w:val="005837F2"/>
    <w:rsid w:val="005845CD"/>
    <w:rsid w:val="00586D9D"/>
    <w:rsid w:val="00587962"/>
    <w:rsid w:val="00595AD0"/>
    <w:rsid w:val="00597841"/>
    <w:rsid w:val="005A1B3E"/>
    <w:rsid w:val="005A1C67"/>
    <w:rsid w:val="005A1CB5"/>
    <w:rsid w:val="005A58C7"/>
    <w:rsid w:val="005B07A2"/>
    <w:rsid w:val="005B3B31"/>
    <w:rsid w:val="005B5F3B"/>
    <w:rsid w:val="005B6CFD"/>
    <w:rsid w:val="005C1899"/>
    <w:rsid w:val="005C5E26"/>
    <w:rsid w:val="005C6313"/>
    <w:rsid w:val="005D7CF8"/>
    <w:rsid w:val="005E42EC"/>
    <w:rsid w:val="005F0A9F"/>
    <w:rsid w:val="005F15E2"/>
    <w:rsid w:val="005F322A"/>
    <w:rsid w:val="005F331F"/>
    <w:rsid w:val="00601DE5"/>
    <w:rsid w:val="00602848"/>
    <w:rsid w:val="0060388A"/>
    <w:rsid w:val="006038BD"/>
    <w:rsid w:val="006077C8"/>
    <w:rsid w:val="00613512"/>
    <w:rsid w:val="006152D6"/>
    <w:rsid w:val="0062063E"/>
    <w:rsid w:val="0062215B"/>
    <w:rsid w:val="0062223E"/>
    <w:rsid w:val="006237C9"/>
    <w:rsid w:val="00625264"/>
    <w:rsid w:val="006263FE"/>
    <w:rsid w:val="00626D40"/>
    <w:rsid w:val="00630D74"/>
    <w:rsid w:val="0063169D"/>
    <w:rsid w:val="0063494A"/>
    <w:rsid w:val="00635E1B"/>
    <w:rsid w:val="00636D96"/>
    <w:rsid w:val="00642325"/>
    <w:rsid w:val="00643B38"/>
    <w:rsid w:val="0064712E"/>
    <w:rsid w:val="0065003F"/>
    <w:rsid w:val="00650E8F"/>
    <w:rsid w:val="006574A8"/>
    <w:rsid w:val="006607E4"/>
    <w:rsid w:val="00664B89"/>
    <w:rsid w:val="006669D4"/>
    <w:rsid w:val="0067016E"/>
    <w:rsid w:val="00672825"/>
    <w:rsid w:val="0067334D"/>
    <w:rsid w:val="006744C6"/>
    <w:rsid w:val="00676B57"/>
    <w:rsid w:val="00677814"/>
    <w:rsid w:val="00677BE8"/>
    <w:rsid w:val="006811EA"/>
    <w:rsid w:val="006821B8"/>
    <w:rsid w:val="00682241"/>
    <w:rsid w:val="00682894"/>
    <w:rsid w:val="00694880"/>
    <w:rsid w:val="006948AA"/>
    <w:rsid w:val="00695876"/>
    <w:rsid w:val="00697447"/>
    <w:rsid w:val="006B41DC"/>
    <w:rsid w:val="006B7C81"/>
    <w:rsid w:val="006C3629"/>
    <w:rsid w:val="006C53D4"/>
    <w:rsid w:val="006D0635"/>
    <w:rsid w:val="006D1C4F"/>
    <w:rsid w:val="006D2926"/>
    <w:rsid w:val="006D4C8F"/>
    <w:rsid w:val="006D5903"/>
    <w:rsid w:val="006D5C2D"/>
    <w:rsid w:val="006D6839"/>
    <w:rsid w:val="006D6D80"/>
    <w:rsid w:val="006E013F"/>
    <w:rsid w:val="006E2891"/>
    <w:rsid w:val="006E6E0A"/>
    <w:rsid w:val="006F134A"/>
    <w:rsid w:val="006F1E45"/>
    <w:rsid w:val="006F2216"/>
    <w:rsid w:val="006F28C1"/>
    <w:rsid w:val="006F4D14"/>
    <w:rsid w:val="00705C2E"/>
    <w:rsid w:val="007074A7"/>
    <w:rsid w:val="00712196"/>
    <w:rsid w:val="00716F9F"/>
    <w:rsid w:val="00721E07"/>
    <w:rsid w:val="00736017"/>
    <w:rsid w:val="007372B4"/>
    <w:rsid w:val="0074412A"/>
    <w:rsid w:val="00747E9E"/>
    <w:rsid w:val="00751DD2"/>
    <w:rsid w:val="00754D56"/>
    <w:rsid w:val="00761DC1"/>
    <w:rsid w:val="007621C5"/>
    <w:rsid w:val="007649CE"/>
    <w:rsid w:val="0077133B"/>
    <w:rsid w:val="007721DA"/>
    <w:rsid w:val="007747DE"/>
    <w:rsid w:val="007765FB"/>
    <w:rsid w:val="00776A75"/>
    <w:rsid w:val="007812E5"/>
    <w:rsid w:val="00782D29"/>
    <w:rsid w:val="00784FD3"/>
    <w:rsid w:val="00785EA1"/>
    <w:rsid w:val="007917E0"/>
    <w:rsid w:val="00793430"/>
    <w:rsid w:val="00794249"/>
    <w:rsid w:val="0079667B"/>
    <w:rsid w:val="0079758F"/>
    <w:rsid w:val="007A7040"/>
    <w:rsid w:val="007C371C"/>
    <w:rsid w:val="007E1AEF"/>
    <w:rsid w:val="007E2354"/>
    <w:rsid w:val="007E4B9A"/>
    <w:rsid w:val="007E7F9B"/>
    <w:rsid w:val="007F25DE"/>
    <w:rsid w:val="007F3D14"/>
    <w:rsid w:val="007F67BF"/>
    <w:rsid w:val="007F6A86"/>
    <w:rsid w:val="007F6BB7"/>
    <w:rsid w:val="007F705F"/>
    <w:rsid w:val="00801604"/>
    <w:rsid w:val="00805E44"/>
    <w:rsid w:val="008076B0"/>
    <w:rsid w:val="008122C9"/>
    <w:rsid w:val="00817300"/>
    <w:rsid w:val="00817A4D"/>
    <w:rsid w:val="0082348B"/>
    <w:rsid w:val="008237C2"/>
    <w:rsid w:val="00825010"/>
    <w:rsid w:val="00825410"/>
    <w:rsid w:val="00830C16"/>
    <w:rsid w:val="008318A0"/>
    <w:rsid w:val="00831D58"/>
    <w:rsid w:val="00832CFC"/>
    <w:rsid w:val="00836FD2"/>
    <w:rsid w:val="00841C80"/>
    <w:rsid w:val="0084347C"/>
    <w:rsid w:val="00843893"/>
    <w:rsid w:val="00847535"/>
    <w:rsid w:val="00853CF1"/>
    <w:rsid w:val="0086144A"/>
    <w:rsid w:val="00871059"/>
    <w:rsid w:val="0087517B"/>
    <w:rsid w:val="0088285B"/>
    <w:rsid w:val="0088362A"/>
    <w:rsid w:val="00886577"/>
    <w:rsid w:val="00886975"/>
    <w:rsid w:val="0088731A"/>
    <w:rsid w:val="008879F7"/>
    <w:rsid w:val="00894B8D"/>
    <w:rsid w:val="00896B81"/>
    <w:rsid w:val="00896F7D"/>
    <w:rsid w:val="008970E4"/>
    <w:rsid w:val="008B43CE"/>
    <w:rsid w:val="008B4B01"/>
    <w:rsid w:val="008B7D31"/>
    <w:rsid w:val="008C27BA"/>
    <w:rsid w:val="008D1D62"/>
    <w:rsid w:val="008D3538"/>
    <w:rsid w:val="008D3AF1"/>
    <w:rsid w:val="008D5373"/>
    <w:rsid w:val="008E2802"/>
    <w:rsid w:val="008E7662"/>
    <w:rsid w:val="008F3C35"/>
    <w:rsid w:val="008F4AF8"/>
    <w:rsid w:val="008F7FC7"/>
    <w:rsid w:val="0090050C"/>
    <w:rsid w:val="00900B42"/>
    <w:rsid w:val="00904ECE"/>
    <w:rsid w:val="00907ED2"/>
    <w:rsid w:val="00914741"/>
    <w:rsid w:val="00915DAD"/>
    <w:rsid w:val="00916DDC"/>
    <w:rsid w:val="0091703A"/>
    <w:rsid w:val="00920283"/>
    <w:rsid w:val="00920F5D"/>
    <w:rsid w:val="00921516"/>
    <w:rsid w:val="00930792"/>
    <w:rsid w:val="0093469E"/>
    <w:rsid w:val="0093633C"/>
    <w:rsid w:val="009372EC"/>
    <w:rsid w:val="00937FA8"/>
    <w:rsid w:val="00941510"/>
    <w:rsid w:val="0094593D"/>
    <w:rsid w:val="00950569"/>
    <w:rsid w:val="00951649"/>
    <w:rsid w:val="0095527F"/>
    <w:rsid w:val="0095626E"/>
    <w:rsid w:val="00956DBF"/>
    <w:rsid w:val="009579C4"/>
    <w:rsid w:val="0096213E"/>
    <w:rsid w:val="00963F3F"/>
    <w:rsid w:val="0097285F"/>
    <w:rsid w:val="009750CC"/>
    <w:rsid w:val="00980F9A"/>
    <w:rsid w:val="00982CE9"/>
    <w:rsid w:val="009957FB"/>
    <w:rsid w:val="009A02FB"/>
    <w:rsid w:val="009A27A3"/>
    <w:rsid w:val="009B19AE"/>
    <w:rsid w:val="009B34DB"/>
    <w:rsid w:val="009B3FFE"/>
    <w:rsid w:val="009B48ED"/>
    <w:rsid w:val="009C1D5E"/>
    <w:rsid w:val="009C2EFF"/>
    <w:rsid w:val="009C2FFD"/>
    <w:rsid w:val="009C6C6E"/>
    <w:rsid w:val="009D1812"/>
    <w:rsid w:val="009D33BD"/>
    <w:rsid w:val="009D42A1"/>
    <w:rsid w:val="009D509E"/>
    <w:rsid w:val="009D5A39"/>
    <w:rsid w:val="009D6972"/>
    <w:rsid w:val="009E5B87"/>
    <w:rsid w:val="009E6581"/>
    <w:rsid w:val="009F0E8E"/>
    <w:rsid w:val="009F17AB"/>
    <w:rsid w:val="009F2973"/>
    <w:rsid w:val="009F3443"/>
    <w:rsid w:val="009F4634"/>
    <w:rsid w:val="009F6565"/>
    <w:rsid w:val="00A0029B"/>
    <w:rsid w:val="00A00551"/>
    <w:rsid w:val="00A00DB5"/>
    <w:rsid w:val="00A02095"/>
    <w:rsid w:val="00A1182D"/>
    <w:rsid w:val="00A14C79"/>
    <w:rsid w:val="00A16DD6"/>
    <w:rsid w:val="00A20578"/>
    <w:rsid w:val="00A20B2A"/>
    <w:rsid w:val="00A22641"/>
    <w:rsid w:val="00A24E9C"/>
    <w:rsid w:val="00A31615"/>
    <w:rsid w:val="00A3309F"/>
    <w:rsid w:val="00A35A8B"/>
    <w:rsid w:val="00A35DDB"/>
    <w:rsid w:val="00A35F62"/>
    <w:rsid w:val="00A35F7E"/>
    <w:rsid w:val="00A361AF"/>
    <w:rsid w:val="00A37242"/>
    <w:rsid w:val="00A53C32"/>
    <w:rsid w:val="00A56BE5"/>
    <w:rsid w:val="00A608A7"/>
    <w:rsid w:val="00A6156A"/>
    <w:rsid w:val="00A711B7"/>
    <w:rsid w:val="00A7209A"/>
    <w:rsid w:val="00A7524F"/>
    <w:rsid w:val="00A8356D"/>
    <w:rsid w:val="00A84FB6"/>
    <w:rsid w:val="00A9157C"/>
    <w:rsid w:val="00A91A2E"/>
    <w:rsid w:val="00A91FC9"/>
    <w:rsid w:val="00A92AE5"/>
    <w:rsid w:val="00AA0939"/>
    <w:rsid w:val="00AA104E"/>
    <w:rsid w:val="00AA1C55"/>
    <w:rsid w:val="00AA657C"/>
    <w:rsid w:val="00AB27F0"/>
    <w:rsid w:val="00AB409B"/>
    <w:rsid w:val="00AB6A12"/>
    <w:rsid w:val="00AC17C9"/>
    <w:rsid w:val="00AC2E91"/>
    <w:rsid w:val="00AC6EB2"/>
    <w:rsid w:val="00AC717C"/>
    <w:rsid w:val="00AD7766"/>
    <w:rsid w:val="00AE0BDE"/>
    <w:rsid w:val="00AF09F2"/>
    <w:rsid w:val="00AF0C07"/>
    <w:rsid w:val="00AF0FE2"/>
    <w:rsid w:val="00AF1AF2"/>
    <w:rsid w:val="00AF1DA4"/>
    <w:rsid w:val="00AF3601"/>
    <w:rsid w:val="00AF44B4"/>
    <w:rsid w:val="00AF4C1B"/>
    <w:rsid w:val="00AF77B5"/>
    <w:rsid w:val="00B0029D"/>
    <w:rsid w:val="00B006B8"/>
    <w:rsid w:val="00B0501D"/>
    <w:rsid w:val="00B05A12"/>
    <w:rsid w:val="00B10A26"/>
    <w:rsid w:val="00B174FD"/>
    <w:rsid w:val="00B21079"/>
    <w:rsid w:val="00B233C6"/>
    <w:rsid w:val="00B31C8E"/>
    <w:rsid w:val="00B32868"/>
    <w:rsid w:val="00B358C2"/>
    <w:rsid w:val="00B3699B"/>
    <w:rsid w:val="00B37234"/>
    <w:rsid w:val="00B404F2"/>
    <w:rsid w:val="00B41FEF"/>
    <w:rsid w:val="00B437A4"/>
    <w:rsid w:val="00B454B0"/>
    <w:rsid w:val="00B46AD1"/>
    <w:rsid w:val="00B47EFE"/>
    <w:rsid w:val="00B54EF7"/>
    <w:rsid w:val="00B556E1"/>
    <w:rsid w:val="00B55DF7"/>
    <w:rsid w:val="00B60747"/>
    <w:rsid w:val="00B7098B"/>
    <w:rsid w:val="00B743C4"/>
    <w:rsid w:val="00B756D7"/>
    <w:rsid w:val="00B77EEB"/>
    <w:rsid w:val="00B91634"/>
    <w:rsid w:val="00B92EFE"/>
    <w:rsid w:val="00B94ABB"/>
    <w:rsid w:val="00B97527"/>
    <w:rsid w:val="00BA11E1"/>
    <w:rsid w:val="00BA2AB1"/>
    <w:rsid w:val="00BA2F1D"/>
    <w:rsid w:val="00BA3DE1"/>
    <w:rsid w:val="00BB3C82"/>
    <w:rsid w:val="00BB4782"/>
    <w:rsid w:val="00BB557A"/>
    <w:rsid w:val="00BC057F"/>
    <w:rsid w:val="00BC0835"/>
    <w:rsid w:val="00BC088E"/>
    <w:rsid w:val="00BC10B7"/>
    <w:rsid w:val="00BC5BB1"/>
    <w:rsid w:val="00BD09F4"/>
    <w:rsid w:val="00BD2ECE"/>
    <w:rsid w:val="00BD52D6"/>
    <w:rsid w:val="00BE377E"/>
    <w:rsid w:val="00BE44CE"/>
    <w:rsid w:val="00BF0806"/>
    <w:rsid w:val="00BF11EB"/>
    <w:rsid w:val="00BF162F"/>
    <w:rsid w:val="00BF68A6"/>
    <w:rsid w:val="00BF75F4"/>
    <w:rsid w:val="00BF7AF8"/>
    <w:rsid w:val="00C005A4"/>
    <w:rsid w:val="00C00D39"/>
    <w:rsid w:val="00C04BB4"/>
    <w:rsid w:val="00C07A6C"/>
    <w:rsid w:val="00C10062"/>
    <w:rsid w:val="00C10A77"/>
    <w:rsid w:val="00C14836"/>
    <w:rsid w:val="00C15D38"/>
    <w:rsid w:val="00C15D80"/>
    <w:rsid w:val="00C25473"/>
    <w:rsid w:val="00C25F30"/>
    <w:rsid w:val="00C262EB"/>
    <w:rsid w:val="00C276A2"/>
    <w:rsid w:val="00C36C2A"/>
    <w:rsid w:val="00C40258"/>
    <w:rsid w:val="00C4045C"/>
    <w:rsid w:val="00C4306D"/>
    <w:rsid w:val="00C46389"/>
    <w:rsid w:val="00C46DE3"/>
    <w:rsid w:val="00C51F18"/>
    <w:rsid w:val="00C526C1"/>
    <w:rsid w:val="00C550D9"/>
    <w:rsid w:val="00C5579F"/>
    <w:rsid w:val="00C620C3"/>
    <w:rsid w:val="00C622CA"/>
    <w:rsid w:val="00C65CEE"/>
    <w:rsid w:val="00C67601"/>
    <w:rsid w:val="00C7121C"/>
    <w:rsid w:val="00C71BB3"/>
    <w:rsid w:val="00C72643"/>
    <w:rsid w:val="00C7415C"/>
    <w:rsid w:val="00C75192"/>
    <w:rsid w:val="00C77BD2"/>
    <w:rsid w:val="00C81215"/>
    <w:rsid w:val="00C8331B"/>
    <w:rsid w:val="00C835C6"/>
    <w:rsid w:val="00C926CB"/>
    <w:rsid w:val="00C97497"/>
    <w:rsid w:val="00CA0244"/>
    <w:rsid w:val="00CA0BC3"/>
    <w:rsid w:val="00CA420E"/>
    <w:rsid w:val="00CA4EF4"/>
    <w:rsid w:val="00CB1299"/>
    <w:rsid w:val="00CB34C8"/>
    <w:rsid w:val="00CB3BB7"/>
    <w:rsid w:val="00CB5328"/>
    <w:rsid w:val="00CB5D5E"/>
    <w:rsid w:val="00CB6133"/>
    <w:rsid w:val="00CC0C13"/>
    <w:rsid w:val="00CC2E0D"/>
    <w:rsid w:val="00CC7B57"/>
    <w:rsid w:val="00CE1354"/>
    <w:rsid w:val="00CE363D"/>
    <w:rsid w:val="00CE7E0B"/>
    <w:rsid w:val="00CF2DAB"/>
    <w:rsid w:val="00CF349F"/>
    <w:rsid w:val="00CF5915"/>
    <w:rsid w:val="00CF5B96"/>
    <w:rsid w:val="00CF7EFF"/>
    <w:rsid w:val="00D037EB"/>
    <w:rsid w:val="00D03FD9"/>
    <w:rsid w:val="00D0483B"/>
    <w:rsid w:val="00D06476"/>
    <w:rsid w:val="00D12B05"/>
    <w:rsid w:val="00D13811"/>
    <w:rsid w:val="00D209B1"/>
    <w:rsid w:val="00D245FA"/>
    <w:rsid w:val="00D24CC8"/>
    <w:rsid w:val="00D263D6"/>
    <w:rsid w:val="00D277DD"/>
    <w:rsid w:val="00D31AC7"/>
    <w:rsid w:val="00D338BE"/>
    <w:rsid w:val="00D34213"/>
    <w:rsid w:val="00D35714"/>
    <w:rsid w:val="00D40ACC"/>
    <w:rsid w:val="00D43F78"/>
    <w:rsid w:val="00D508F3"/>
    <w:rsid w:val="00D536C0"/>
    <w:rsid w:val="00D54434"/>
    <w:rsid w:val="00D56E50"/>
    <w:rsid w:val="00D575A5"/>
    <w:rsid w:val="00D60AF2"/>
    <w:rsid w:val="00D60BD9"/>
    <w:rsid w:val="00D60CBA"/>
    <w:rsid w:val="00D64FD7"/>
    <w:rsid w:val="00D75545"/>
    <w:rsid w:val="00D807B6"/>
    <w:rsid w:val="00D82FAE"/>
    <w:rsid w:val="00D8317E"/>
    <w:rsid w:val="00D8408F"/>
    <w:rsid w:val="00D84AC2"/>
    <w:rsid w:val="00D9567C"/>
    <w:rsid w:val="00DA1500"/>
    <w:rsid w:val="00DA25EB"/>
    <w:rsid w:val="00DA38BD"/>
    <w:rsid w:val="00DA4EB1"/>
    <w:rsid w:val="00DA5654"/>
    <w:rsid w:val="00DA7E15"/>
    <w:rsid w:val="00DB04E0"/>
    <w:rsid w:val="00DB59B3"/>
    <w:rsid w:val="00DB73C6"/>
    <w:rsid w:val="00DD014A"/>
    <w:rsid w:val="00DD5ACF"/>
    <w:rsid w:val="00DE3439"/>
    <w:rsid w:val="00DF0CA1"/>
    <w:rsid w:val="00DF2EBB"/>
    <w:rsid w:val="00DF2FC1"/>
    <w:rsid w:val="00DF6E31"/>
    <w:rsid w:val="00E001BC"/>
    <w:rsid w:val="00E01921"/>
    <w:rsid w:val="00E02750"/>
    <w:rsid w:val="00E03B6E"/>
    <w:rsid w:val="00E04B58"/>
    <w:rsid w:val="00E05FF9"/>
    <w:rsid w:val="00E06E2A"/>
    <w:rsid w:val="00E10518"/>
    <w:rsid w:val="00E1224A"/>
    <w:rsid w:val="00E12803"/>
    <w:rsid w:val="00E142A2"/>
    <w:rsid w:val="00E17FE8"/>
    <w:rsid w:val="00E247E2"/>
    <w:rsid w:val="00E30B55"/>
    <w:rsid w:val="00E31E30"/>
    <w:rsid w:val="00E333AC"/>
    <w:rsid w:val="00E4121C"/>
    <w:rsid w:val="00E42788"/>
    <w:rsid w:val="00E43457"/>
    <w:rsid w:val="00E43DC7"/>
    <w:rsid w:val="00E46675"/>
    <w:rsid w:val="00E50F58"/>
    <w:rsid w:val="00E50F5D"/>
    <w:rsid w:val="00E510F3"/>
    <w:rsid w:val="00E51D03"/>
    <w:rsid w:val="00E5737A"/>
    <w:rsid w:val="00E57D6F"/>
    <w:rsid w:val="00E64039"/>
    <w:rsid w:val="00E644BE"/>
    <w:rsid w:val="00E651C9"/>
    <w:rsid w:val="00E718A5"/>
    <w:rsid w:val="00E73F9F"/>
    <w:rsid w:val="00E74253"/>
    <w:rsid w:val="00E7758A"/>
    <w:rsid w:val="00E8116B"/>
    <w:rsid w:val="00E83F25"/>
    <w:rsid w:val="00E84409"/>
    <w:rsid w:val="00E84C9F"/>
    <w:rsid w:val="00E939BF"/>
    <w:rsid w:val="00E93F6C"/>
    <w:rsid w:val="00E9479A"/>
    <w:rsid w:val="00E953A2"/>
    <w:rsid w:val="00E977F5"/>
    <w:rsid w:val="00E97ED2"/>
    <w:rsid w:val="00EA0EE8"/>
    <w:rsid w:val="00EA194E"/>
    <w:rsid w:val="00EA1EB1"/>
    <w:rsid w:val="00EA26A8"/>
    <w:rsid w:val="00EA2E9B"/>
    <w:rsid w:val="00EA4264"/>
    <w:rsid w:val="00EA53E8"/>
    <w:rsid w:val="00EA7ACF"/>
    <w:rsid w:val="00EB0291"/>
    <w:rsid w:val="00EB0D54"/>
    <w:rsid w:val="00EB2C10"/>
    <w:rsid w:val="00EB5D96"/>
    <w:rsid w:val="00EB77FC"/>
    <w:rsid w:val="00EC0A4B"/>
    <w:rsid w:val="00EC1E0E"/>
    <w:rsid w:val="00EC2477"/>
    <w:rsid w:val="00EC4FCB"/>
    <w:rsid w:val="00ED0339"/>
    <w:rsid w:val="00ED69E0"/>
    <w:rsid w:val="00ED7CEA"/>
    <w:rsid w:val="00EE2B5C"/>
    <w:rsid w:val="00EE7940"/>
    <w:rsid w:val="00EF1746"/>
    <w:rsid w:val="00EF2B36"/>
    <w:rsid w:val="00EF5C78"/>
    <w:rsid w:val="00EF68FE"/>
    <w:rsid w:val="00EF74B8"/>
    <w:rsid w:val="00F04E55"/>
    <w:rsid w:val="00F06B13"/>
    <w:rsid w:val="00F114EE"/>
    <w:rsid w:val="00F118CA"/>
    <w:rsid w:val="00F136C6"/>
    <w:rsid w:val="00F16726"/>
    <w:rsid w:val="00F17EB8"/>
    <w:rsid w:val="00F213E0"/>
    <w:rsid w:val="00F221CB"/>
    <w:rsid w:val="00F22B48"/>
    <w:rsid w:val="00F27985"/>
    <w:rsid w:val="00F32ABC"/>
    <w:rsid w:val="00F3399F"/>
    <w:rsid w:val="00F36581"/>
    <w:rsid w:val="00F41950"/>
    <w:rsid w:val="00F44101"/>
    <w:rsid w:val="00F454CA"/>
    <w:rsid w:val="00F45E50"/>
    <w:rsid w:val="00F46492"/>
    <w:rsid w:val="00F50A22"/>
    <w:rsid w:val="00F516A5"/>
    <w:rsid w:val="00F5231D"/>
    <w:rsid w:val="00F5288C"/>
    <w:rsid w:val="00F52F44"/>
    <w:rsid w:val="00F600D1"/>
    <w:rsid w:val="00F601BF"/>
    <w:rsid w:val="00F61095"/>
    <w:rsid w:val="00F66DEF"/>
    <w:rsid w:val="00F672C7"/>
    <w:rsid w:val="00F67FA1"/>
    <w:rsid w:val="00F703B3"/>
    <w:rsid w:val="00F7049D"/>
    <w:rsid w:val="00F71ACF"/>
    <w:rsid w:val="00F76450"/>
    <w:rsid w:val="00F8119D"/>
    <w:rsid w:val="00F8389D"/>
    <w:rsid w:val="00F843AC"/>
    <w:rsid w:val="00F856F2"/>
    <w:rsid w:val="00F86C2F"/>
    <w:rsid w:val="00F917C0"/>
    <w:rsid w:val="00F92081"/>
    <w:rsid w:val="00F92A44"/>
    <w:rsid w:val="00F96DC1"/>
    <w:rsid w:val="00F970FF"/>
    <w:rsid w:val="00FA77FC"/>
    <w:rsid w:val="00FB2C42"/>
    <w:rsid w:val="00FB377A"/>
    <w:rsid w:val="00FB3D12"/>
    <w:rsid w:val="00FB5680"/>
    <w:rsid w:val="00FC2B5D"/>
    <w:rsid w:val="00FC3377"/>
    <w:rsid w:val="00FC39CE"/>
    <w:rsid w:val="00FC53BC"/>
    <w:rsid w:val="00FC6F8D"/>
    <w:rsid w:val="00FC7B55"/>
    <w:rsid w:val="00FD0308"/>
    <w:rsid w:val="00FD420E"/>
    <w:rsid w:val="00FE30A3"/>
    <w:rsid w:val="00FF20EB"/>
    <w:rsid w:val="00FF3129"/>
    <w:rsid w:val="00FF3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1F527C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gresos-tributarios/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3AAE0"/>
      </a:accent1>
      <a:accent2>
        <a:srgbClr val="C5484C"/>
      </a:accent2>
      <a:accent3>
        <a:srgbClr val="C0CD29"/>
      </a:accent3>
      <a:accent4>
        <a:srgbClr val="E9BE3E"/>
      </a:accent4>
      <a:accent5>
        <a:srgbClr val="D37E32"/>
      </a:accent5>
      <a:accent6>
        <a:srgbClr val="4598C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B2F77-0459-41B6-810B-E2B20C85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1002</Words>
  <Characters>5513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2023-05-23T17:10:00Z</dcterms:created>
  <dcterms:modified xsi:type="dcterms:W3CDTF">2023-06-15T15:34:00Z</dcterms:modified>
</cp:coreProperties>
</file>