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361EDCB5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CB513A">
        <w:rPr>
          <w:i/>
        </w:rPr>
        <w:t>5</w:t>
      </w:r>
      <w:r w:rsidR="00727BEE">
        <w:rPr>
          <w:i/>
        </w:rPr>
        <w:t xml:space="preserve"> de ju</w:t>
      </w:r>
      <w:r w:rsidR="00CB513A">
        <w:rPr>
          <w:i/>
        </w:rPr>
        <w:t>l</w:t>
      </w:r>
      <w:r w:rsidR="00727BEE">
        <w:rPr>
          <w:i/>
        </w:rPr>
        <w:t>io</w:t>
      </w:r>
      <w:r w:rsidR="00065C7E">
        <w:rPr>
          <w:i/>
        </w:rPr>
        <w:t xml:space="preserve"> </w:t>
      </w:r>
      <w:r>
        <w:rPr>
          <w:i/>
        </w:rPr>
        <w:t>de 202</w:t>
      </w:r>
      <w:r w:rsidR="002B483D">
        <w:rPr>
          <w:i/>
        </w:rPr>
        <w:t>3</w:t>
      </w:r>
    </w:p>
    <w:p w14:paraId="5A87CD25" w14:textId="6BC45868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B456E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</w:t>
      </w:r>
      <w:r w:rsidR="00CB513A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6.669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CB513A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junio</w:t>
      </w:r>
    </w:p>
    <w:p w14:paraId="3867E5E0" w14:textId="0F9582EC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CB513A">
        <w:rPr>
          <w:rFonts w:asciiTheme="minorHAnsi" w:hAnsiTheme="minorHAnsi"/>
        </w:rPr>
        <w:t>junio</w:t>
      </w:r>
      <w:r w:rsidR="00A77A29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8823A8">
        <w:rPr>
          <w:rFonts w:asciiTheme="minorHAnsi" w:hAnsiTheme="minorHAnsi"/>
          <w:b/>
        </w:rPr>
        <w:t>1</w:t>
      </w:r>
      <w:r w:rsidR="00CB513A">
        <w:rPr>
          <w:rFonts w:asciiTheme="minorHAnsi" w:hAnsiTheme="minorHAnsi"/>
          <w:b/>
        </w:rPr>
        <w:t>6.669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8823A8">
        <w:rPr>
          <w:rFonts w:asciiTheme="minorHAnsi" w:hAnsiTheme="minorHAnsi"/>
        </w:rPr>
        <w:t>un aumento</w:t>
      </w:r>
      <w:r w:rsidR="00653BD9">
        <w:rPr>
          <w:rFonts w:asciiTheme="minorHAnsi" w:hAnsiTheme="minorHAnsi"/>
        </w:rPr>
        <w:t xml:space="preserve"> </w:t>
      </w:r>
      <w:r w:rsidR="00493965">
        <w:rPr>
          <w:rFonts w:asciiTheme="minorHAnsi" w:hAnsiTheme="minorHAnsi"/>
        </w:rPr>
        <w:t>del</w:t>
      </w:r>
      <w:r w:rsidR="004C2E8B">
        <w:rPr>
          <w:rFonts w:asciiTheme="minorHAnsi" w:hAnsiTheme="minorHAnsi"/>
        </w:rPr>
        <w:t xml:space="preserve"> </w:t>
      </w:r>
      <w:r w:rsidR="00CB513A">
        <w:rPr>
          <w:rFonts w:asciiTheme="minorHAnsi" w:hAnsiTheme="minorHAnsi"/>
        </w:rPr>
        <w:t>7,2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CB513A">
        <w:rPr>
          <w:rFonts w:asciiTheme="minorHAnsi" w:hAnsiTheme="minorHAnsi"/>
        </w:rPr>
        <w:t>mayo</w:t>
      </w:r>
      <w:r w:rsidR="006A495C">
        <w:rPr>
          <w:rFonts w:asciiTheme="minorHAnsi" w:hAnsiTheme="minorHAnsi"/>
        </w:rPr>
        <w:t xml:space="preserve"> 2023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727BEE">
        <w:rPr>
          <w:rFonts w:asciiTheme="minorHAnsi" w:hAnsiTheme="minorHAnsi"/>
        </w:rPr>
        <w:t>1</w:t>
      </w:r>
      <w:r w:rsidR="00CB513A">
        <w:rPr>
          <w:rFonts w:asciiTheme="minorHAnsi" w:hAnsiTheme="minorHAnsi"/>
        </w:rPr>
        <w:t>12,3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4A9455E5" w:rsidR="00266550" w:rsidRPr="00CB513A" w:rsidRDefault="00654211" w:rsidP="00CB513A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junio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la Provincia 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$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4.959</w:t>
      </w:r>
      <w:r w:rsidR="00425E3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0C1F0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6A495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aumento 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13,4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ño pasado el incremento es del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13,7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esto es, un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estimado en términos reales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Respecto al mismo mes del año 2018,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DD5C79">
        <w:rPr>
          <w:rFonts w:asciiTheme="minorHAnsi" w:eastAsia="Calibri" w:hAnsiTheme="minorHAnsi" w:cs="Times New Roman"/>
          <w:color w:val="auto"/>
          <w:sz w:val="22"/>
          <w:szCs w:val="22"/>
        </w:rPr>
        <w:t>junio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2023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 aumento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9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% (Gráfico 2).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ganancia de recursos de los municipios supera </w:t>
      </w:r>
      <w:r w:rsidR="0097762A">
        <w:rPr>
          <w:rFonts w:asciiTheme="minorHAnsi" w:eastAsia="Calibri" w:hAnsiTheme="minorHAnsi" w:cs="Times New Roman"/>
          <w:color w:val="auto"/>
          <w:sz w:val="22"/>
          <w:szCs w:val="22"/>
        </w:rPr>
        <w:t>ampliamente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 la registrada en los recursos de la Provincia, los que en el mes de </w:t>
      </w:r>
      <w:r w:rsidR="00DD5C79">
        <w:rPr>
          <w:rFonts w:asciiTheme="minorHAnsi" w:eastAsia="Calibri" w:hAnsiTheme="minorHAnsi" w:cs="Times New Roman"/>
          <w:color w:val="auto"/>
          <w:sz w:val="22"/>
          <w:szCs w:val="22"/>
        </w:rPr>
        <w:t>junio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 respecto a </w:t>
      </w:r>
      <w:r w:rsidR="00DD5C79">
        <w:rPr>
          <w:rFonts w:asciiTheme="minorHAnsi" w:eastAsia="Calibri" w:hAnsiTheme="minorHAnsi" w:cs="Times New Roman"/>
          <w:color w:val="auto"/>
          <w:sz w:val="22"/>
          <w:szCs w:val="22"/>
        </w:rPr>
        <w:t>junio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2018 presentaron un crecimiento real del </w:t>
      </w:r>
      <w:r w:rsidR="00DD5C79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(Gráfico 3).</w:t>
      </w:r>
    </w:p>
    <w:p w14:paraId="16263C15" w14:textId="44ACD7EF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DD5C79">
        <w:rPr>
          <w:rFonts w:asciiTheme="minorHAnsi" w:hAnsiTheme="minorHAnsi"/>
        </w:rPr>
        <w:t>martes 11 de julio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DD5C79">
        <w:rPr>
          <w:rFonts w:asciiTheme="minorHAnsi" w:hAnsiTheme="minorHAnsi"/>
        </w:rPr>
        <w:t>miércoles</w:t>
      </w:r>
      <w:r w:rsidR="00727BEE">
        <w:rPr>
          <w:rFonts w:asciiTheme="minorHAnsi" w:hAnsiTheme="minorHAnsi"/>
        </w:rPr>
        <w:t xml:space="preserve"> 12 y el </w:t>
      </w:r>
      <w:r w:rsidR="00DD5C79">
        <w:rPr>
          <w:rFonts w:asciiTheme="minorHAnsi" w:hAnsiTheme="minorHAnsi"/>
        </w:rPr>
        <w:t>jueves</w:t>
      </w:r>
      <w:r w:rsidR="00727BEE">
        <w:rPr>
          <w:rFonts w:asciiTheme="minorHAnsi" w:hAnsiTheme="minorHAnsi"/>
        </w:rPr>
        <w:t xml:space="preserve"> 13</w:t>
      </w:r>
      <w:r w:rsidR="00826EE6">
        <w:rPr>
          <w:rFonts w:asciiTheme="minorHAnsi" w:hAnsiTheme="minorHAnsi"/>
        </w:rPr>
        <w:t xml:space="preserve"> de</w:t>
      </w:r>
      <w:r w:rsidR="00DD5C79">
        <w:rPr>
          <w:rFonts w:asciiTheme="minorHAnsi" w:hAnsiTheme="minorHAnsi"/>
        </w:rPr>
        <w:t xml:space="preserve"> julio de</w:t>
      </w:r>
      <w:r w:rsidR="00826EE6">
        <w:rPr>
          <w:rFonts w:asciiTheme="minorHAnsi" w:hAnsiTheme="minorHAnsi"/>
        </w:rPr>
        <w:t xml:space="preserve"> 2023</w:t>
      </w:r>
      <w:r w:rsidRPr="00FF52CB">
        <w:rPr>
          <w:rFonts w:asciiTheme="minorHAnsi" w:hAnsiTheme="minorHAnsi"/>
        </w:rPr>
        <w:t>.</w:t>
      </w:r>
    </w:p>
    <w:p w14:paraId="5CD77368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147E94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DCDBC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22E5F2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A539D3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22D634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096E35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8C415F0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5717C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8A7D92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80B096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1CD8AD2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26120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E5323A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A46C5B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7E35EC4" w14:textId="77777777" w:rsidR="00727BEE" w:rsidRDefault="00727BEE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39C77CC8" w:rsidR="008C7744" w:rsidRDefault="00DD5C79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410DAA"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3A77F91D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24F9AA81" w:rsidR="00C81BC4" w:rsidRPr="006A495C" w:rsidRDefault="006A495C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DD5C79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</w:t>
                            </w:r>
                            <w:r w:rsidR="0096714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3,</w:t>
                            </w:r>
                            <w:r w:rsidR="00DD5C79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4</w:t>
                            </w:r>
                            <w:r w:rsidR="00C81BC4"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13pt;margin-top:14.5pt;width:64.2pt;height:36.3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" filled="f" stroked="f">
                <v:textbox style="mso-fit-shape-to-text:t">
                  <w:txbxContent>
                    <w:p w14:paraId="64215DE2" w14:textId="24F9AA81" w:rsidR="00C81BC4" w:rsidRPr="006A495C" w:rsidRDefault="006A495C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6A495C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DD5C79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</w:t>
                      </w:r>
                      <w:r w:rsidR="0096714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3,</w:t>
                      </w:r>
                      <w:r w:rsidR="00DD5C79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4</w:t>
                      </w:r>
                      <w:r w:rsidR="00C81BC4" w:rsidRPr="006A495C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744" w:rsidRPr="00CA0E35">
        <w:rPr>
          <w:b/>
          <w:shd w:val="clear" w:color="auto" w:fill="FFFFFF"/>
        </w:rPr>
        <w:t>Gráfico 1. Transferencias automáticas a</w:t>
      </w:r>
      <w:r w:rsidR="008C7744">
        <w:rPr>
          <w:b/>
          <w:shd w:val="clear" w:color="auto" w:fill="FFFFFF"/>
        </w:rPr>
        <w:t xml:space="preserve"> </w:t>
      </w:r>
      <w:r w:rsidR="008C7744" w:rsidRPr="00CA0E35">
        <w:rPr>
          <w:b/>
          <w:shd w:val="clear" w:color="auto" w:fill="FFFFFF"/>
        </w:rPr>
        <w:t>Municipios y Comunas</w:t>
      </w:r>
    </w:p>
    <w:p w14:paraId="2476F155" w14:textId="04428A39" w:rsidR="00CA7BDF" w:rsidRDefault="00DD5C79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316BED34">
                <wp:simplePos x="0" y="0"/>
                <wp:positionH relativeFrom="margin">
                  <wp:posOffset>4747581</wp:posOffset>
                </wp:positionH>
                <wp:positionV relativeFrom="paragraph">
                  <wp:posOffset>160655</wp:posOffset>
                </wp:positionV>
                <wp:extent cx="422910" cy="485994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6211">
                          <a:off x="0" y="0"/>
                          <a:ext cx="422910" cy="48599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49C6" id="Forma 20" o:spid="_x0000_s1026" style="position:absolute;margin-left:373.85pt;margin-top:12.65pt;width:33.3pt;height:38.25pt;rotation:2475307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" path="m,485994c46990,269997,143738,125620,290243,52864l284287,,422910,68197,305131,184993r-5957,-52864c170210,159129,70485,277084,,485994xe" fillcolor="#92d050" stroked="f" strokeweight="2pt">
                <v:path arrowok="t" o:connecttype="custom" o:connectlocs="0,485994;290243,52864;284287,0;422910,68197;305131,184993;299174,132129;0,485994" o:connectangles="0,0,0,0,0,0,0"/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0CD5E1C2" w:rsidR="008C7744" w:rsidRDefault="00DD5C79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0F557A31">
                <wp:simplePos x="0" y="0"/>
                <wp:positionH relativeFrom="margin">
                  <wp:posOffset>4705350</wp:posOffset>
                </wp:positionH>
                <wp:positionV relativeFrom="paragraph">
                  <wp:posOffset>1024890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0533F2A3" w:rsidR="008541A6" w:rsidRPr="008A661B" w:rsidRDefault="008A661B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DD5C79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7,2</w:t>
                            </w:r>
                            <w:r w:rsidR="008541A6" w:rsidRPr="008A661B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70.5pt;margin-top:80.7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" filled="f" stroked="f">
                <v:textbox style="mso-fit-shape-to-text:t">
                  <w:txbxContent>
                    <w:p w14:paraId="791CA5F0" w14:textId="0533F2A3" w:rsidR="008541A6" w:rsidRPr="008A661B" w:rsidRDefault="008A661B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DD5C79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7,2</w:t>
                      </w:r>
                      <w:r w:rsidR="008541A6" w:rsidRPr="008A661B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29E2E8E0">
                <wp:simplePos x="0" y="0"/>
                <wp:positionH relativeFrom="margin">
                  <wp:posOffset>4943475</wp:posOffset>
                </wp:positionH>
                <wp:positionV relativeFrom="paragraph">
                  <wp:posOffset>1296671</wp:posOffset>
                </wp:positionV>
                <wp:extent cx="422981" cy="389896"/>
                <wp:effectExtent l="76200" t="19050" r="0" b="1016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2473">
                          <a:off x="0" y="0"/>
                          <a:ext cx="422981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FDB7" id="Forma 20" o:spid="_x0000_s1026" style="position:absolute;margin-left:389.25pt;margin-top:102.1pt;width:33.3pt;height:30.7pt;rotation:734520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" path="m,389896c46998,216609,147222,102889,300671,48737l295179,,422981,61038,313327,161066r-5491,-48737c173109,133990,70497,226512,,389896xe" fillcolor="#92d050" stroked="f" strokeweight="2pt">
                <v:path arrowok="t" o:connecttype="custom" o:connectlocs="0,389896;300671,48737;295179,0;422981,61038;313327,161066;307836,112329;0,389896" o:connectangles="0,0,0,0,0,0,0"/>
                <w10:wrap anchorx="margin"/>
              </v:shape>
            </w:pict>
          </mc:Fallback>
        </mc:AlternateContent>
      </w:r>
      <w:r w:rsidR="004C2E8B" w:rsidRPr="004C2E8B">
        <w:t xml:space="preserve"> </w:t>
      </w:r>
      <w:r w:rsidRPr="00DD5C79">
        <w:drawing>
          <wp:inline distT="0" distB="0" distL="0" distR="0" wp14:anchorId="1954CC93" wp14:editId="6BBA0C26">
            <wp:extent cx="5860364" cy="3817620"/>
            <wp:effectExtent l="0" t="0" r="7620" b="0"/>
            <wp:docPr id="20588015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52" cy="382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223181D9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8A14DE">
        <w:rPr>
          <w:i/>
          <w:shd w:val="clear" w:color="auto" w:fill="FFFFFF"/>
        </w:rPr>
        <w:t>junio</w:t>
      </w:r>
      <w:r w:rsidR="000145E7">
        <w:rPr>
          <w:i/>
          <w:shd w:val="clear" w:color="auto" w:fill="FFFFFF"/>
        </w:rPr>
        <w:t xml:space="preserve"> 2023</w:t>
      </w:r>
    </w:p>
    <w:p w14:paraId="32A9CD54" w14:textId="45DE824E" w:rsidR="00D56E15" w:rsidRPr="00044644" w:rsidRDefault="00355FFC" w:rsidP="00044644">
      <w:pPr>
        <w:spacing w:after="60" w:line="240" w:lineRule="auto"/>
        <w:jc w:val="center"/>
      </w:pPr>
      <w:r w:rsidRPr="00355FFC">
        <w:drawing>
          <wp:inline distT="0" distB="0" distL="0" distR="0" wp14:anchorId="6D9ADA5C" wp14:editId="3EBE8E5D">
            <wp:extent cx="5459730" cy="2421255"/>
            <wp:effectExtent l="0" t="0" r="0" b="0"/>
            <wp:docPr id="9228089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562D7B25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04BC8CEA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8A14DE">
        <w:rPr>
          <w:i/>
          <w:sz w:val="18"/>
          <w:shd w:val="clear" w:color="auto" w:fill="FFFFFF"/>
        </w:rPr>
        <w:t>mayo</w:t>
      </w:r>
      <w:r w:rsidR="00290270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8A14DE">
        <w:rPr>
          <w:i/>
          <w:sz w:val="18"/>
          <w:shd w:val="clear" w:color="auto" w:fill="FFFFFF"/>
        </w:rPr>
        <w:t>junio</w:t>
      </w:r>
      <w:r w:rsidR="000145E7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69E80F4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7E81AD9" w14:textId="77777777" w:rsidR="00EE7B05" w:rsidRDefault="00EE7B05" w:rsidP="008E076D">
      <w:pPr>
        <w:jc w:val="both"/>
        <w:rPr>
          <w:i/>
          <w:sz w:val="18"/>
          <w:shd w:val="clear" w:color="auto" w:fill="FFFFFF"/>
        </w:rPr>
      </w:pPr>
    </w:p>
    <w:p w14:paraId="42F4E57D" w14:textId="77777777" w:rsidR="00737299" w:rsidRDefault="00737299" w:rsidP="00737299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814C161" w14:textId="4315A91A" w:rsidR="00737299" w:rsidRDefault="00737299" w:rsidP="00737299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355FFC">
        <w:rPr>
          <w:i/>
          <w:shd w:val="clear" w:color="auto" w:fill="FFFFFF"/>
        </w:rPr>
        <w:t>junio</w:t>
      </w:r>
      <w:r>
        <w:rPr>
          <w:i/>
          <w:shd w:val="clear" w:color="auto" w:fill="FFFFFF"/>
        </w:rPr>
        <w:t xml:space="preserve"> 2023 vs. </w:t>
      </w:r>
      <w:r w:rsidR="00355FFC">
        <w:rPr>
          <w:i/>
          <w:shd w:val="clear" w:color="auto" w:fill="FFFFFF"/>
        </w:rPr>
        <w:t>junio</w:t>
      </w:r>
      <w:r>
        <w:rPr>
          <w:i/>
          <w:shd w:val="clear" w:color="auto" w:fill="FFFFFF"/>
        </w:rPr>
        <w:t xml:space="preserve"> 2018</w:t>
      </w:r>
    </w:p>
    <w:p w14:paraId="5F4B7F54" w14:textId="29004FAF" w:rsidR="00737299" w:rsidRPr="00044644" w:rsidRDefault="00737299" w:rsidP="00737299">
      <w:pPr>
        <w:spacing w:after="60" w:line="240" w:lineRule="auto"/>
        <w:jc w:val="center"/>
      </w:pPr>
      <w:r w:rsidRPr="0089288D">
        <w:t xml:space="preserve"> </w:t>
      </w:r>
      <w:r w:rsidRPr="00F6274E">
        <w:t xml:space="preserve"> </w:t>
      </w:r>
      <w:r w:rsidR="00355FFC" w:rsidRPr="00355FFC">
        <w:drawing>
          <wp:inline distT="0" distB="0" distL="0" distR="0" wp14:anchorId="47D0015C" wp14:editId="37CA47B3">
            <wp:extent cx="3741420" cy="2244852"/>
            <wp:effectExtent l="0" t="0" r="0" b="3175"/>
            <wp:docPr id="178230242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774" cy="224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00459" wp14:editId="616832CA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EC59C7" w14:textId="77777777" w:rsidR="00737299" w:rsidRPr="00CB16CA" w:rsidRDefault="00737299" w:rsidP="00737299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00459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03EC59C7" w14:textId="77777777" w:rsidR="00737299" w:rsidRPr="00CB16CA" w:rsidRDefault="00737299" w:rsidP="00737299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923A" w14:textId="512FCD59" w:rsidR="00737299" w:rsidRPr="00D56E15" w:rsidRDefault="00737299" w:rsidP="00737299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355FFC">
        <w:rPr>
          <w:i/>
          <w:sz w:val="18"/>
          <w:shd w:val="clear" w:color="auto" w:fill="FFFFFF"/>
        </w:rPr>
        <w:t>mayo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>
        <w:rPr>
          <w:i/>
          <w:sz w:val="18"/>
          <w:shd w:val="clear" w:color="auto" w:fill="FFFFFF"/>
        </w:rPr>
        <w:t xml:space="preserve">de </w:t>
      </w:r>
      <w:r w:rsidR="00355FFC">
        <w:rPr>
          <w:i/>
          <w:sz w:val="18"/>
          <w:shd w:val="clear" w:color="auto" w:fill="FFFFFF"/>
        </w:rPr>
        <w:t>junio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09D6BDAD" w14:textId="77777777" w:rsidR="00737299" w:rsidRDefault="00737299" w:rsidP="00737299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3201A38E" w14:textId="77777777" w:rsidR="00737299" w:rsidRPr="008E076D" w:rsidRDefault="00737299" w:rsidP="008E076D">
      <w:pPr>
        <w:jc w:val="both"/>
        <w:rPr>
          <w:i/>
          <w:sz w:val="18"/>
          <w:shd w:val="clear" w:color="auto" w:fill="FFFFFF"/>
        </w:rPr>
      </w:pPr>
    </w:p>
    <w:sectPr w:rsidR="00737299" w:rsidRPr="008E076D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A340" w14:textId="77777777" w:rsidR="007A3B7C" w:rsidRDefault="007A3B7C" w:rsidP="00AA6269">
      <w:pPr>
        <w:spacing w:after="0" w:line="240" w:lineRule="auto"/>
      </w:pPr>
      <w:r>
        <w:separator/>
      </w:r>
    </w:p>
  </w:endnote>
  <w:endnote w:type="continuationSeparator" w:id="0">
    <w:p w14:paraId="1F4EE043" w14:textId="77777777" w:rsidR="007A3B7C" w:rsidRDefault="007A3B7C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95C1" w14:textId="77777777" w:rsidR="007A3B7C" w:rsidRDefault="007A3B7C" w:rsidP="00AA6269">
      <w:pPr>
        <w:spacing w:after="0" w:line="240" w:lineRule="auto"/>
      </w:pPr>
      <w:r>
        <w:separator/>
      </w:r>
    </w:p>
  </w:footnote>
  <w:footnote w:type="continuationSeparator" w:id="0">
    <w:p w14:paraId="754602FD" w14:textId="77777777" w:rsidR="007A3B7C" w:rsidRDefault="007A3B7C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8DA"/>
    <w:rsid w:val="00245AE0"/>
    <w:rsid w:val="00251272"/>
    <w:rsid w:val="00251E35"/>
    <w:rsid w:val="00260C00"/>
    <w:rsid w:val="00262586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5FF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1BE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20</cp:revision>
  <cp:lastPrinted>2018-12-05T17:20:00Z</cp:lastPrinted>
  <dcterms:created xsi:type="dcterms:W3CDTF">2023-02-07T12:25:00Z</dcterms:created>
  <dcterms:modified xsi:type="dcterms:W3CDTF">2023-07-05T13:30:00Z</dcterms:modified>
</cp:coreProperties>
</file>