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8673" w14:textId="3A82779D" w:rsidR="00722FCB" w:rsidRPr="00722FCB" w:rsidRDefault="00C8128D" w:rsidP="00C8128D">
      <w:pPr>
        <w:jc w:val="right"/>
        <w:rPr>
          <w:i/>
        </w:rPr>
      </w:pPr>
      <w:r>
        <w:rPr>
          <w:i/>
        </w:rPr>
        <w:t xml:space="preserve">Córdoba, </w:t>
      </w:r>
      <w:r w:rsidR="00F63675">
        <w:rPr>
          <w:i/>
        </w:rPr>
        <w:t>1</w:t>
      </w:r>
      <w:r w:rsidR="00C02750">
        <w:rPr>
          <w:i/>
        </w:rPr>
        <w:t>0</w:t>
      </w:r>
      <w:r w:rsidR="00CE3FE4">
        <w:rPr>
          <w:i/>
        </w:rPr>
        <w:t xml:space="preserve"> de </w:t>
      </w:r>
      <w:r w:rsidR="00F63675">
        <w:rPr>
          <w:i/>
        </w:rPr>
        <w:t>novi</w:t>
      </w:r>
      <w:r w:rsidR="00457030">
        <w:rPr>
          <w:i/>
        </w:rPr>
        <w:t>embre</w:t>
      </w:r>
      <w:r w:rsidR="00E11613">
        <w:rPr>
          <w:i/>
        </w:rPr>
        <w:t xml:space="preserve"> de 2023</w:t>
      </w:r>
    </w:p>
    <w:p w14:paraId="5A87CD25" w14:textId="3D53FA52" w:rsidR="00BD1F15" w:rsidRPr="008C7744" w:rsidRDefault="00EF3C25" w:rsidP="00F1080F">
      <w:pPr>
        <w:pStyle w:val="Ttulo2"/>
        <w:spacing w:before="360"/>
        <w:jc w:val="center"/>
        <w:rPr>
          <w:rFonts w:ascii="Book Antiqua" w:eastAsia="Times New Roman" w:hAnsi="Book Antiqua" w:cs="Arial"/>
          <w:b/>
          <w:bCs/>
          <w:i w:val="0"/>
          <w:color w:val="auto"/>
          <w:kern w:val="28"/>
          <w:szCs w:val="24"/>
          <w:lang w:val="es-ES" w:eastAsia="es-ES"/>
        </w:rPr>
      </w:pPr>
      <w:r>
        <w:rPr>
          <w:rFonts w:ascii="Book Antiqua" w:eastAsia="Times New Roman" w:hAnsi="Book Antiqua" w:cs="Arial"/>
          <w:b/>
          <w:bCs/>
          <w:i w:val="0"/>
          <w:color w:val="auto"/>
          <w:kern w:val="28"/>
          <w:szCs w:val="24"/>
          <w:lang w:val="es-ES" w:eastAsia="es-ES"/>
        </w:rPr>
        <w:t>En Córdoba se perciben más de 8</w:t>
      </w:r>
      <w:r w:rsidR="00020621">
        <w:rPr>
          <w:rFonts w:ascii="Book Antiqua" w:eastAsia="Times New Roman" w:hAnsi="Book Antiqua" w:cs="Arial"/>
          <w:b/>
          <w:bCs/>
          <w:i w:val="0"/>
          <w:color w:val="auto"/>
          <w:kern w:val="28"/>
          <w:szCs w:val="24"/>
          <w:lang w:val="es-ES" w:eastAsia="es-ES"/>
        </w:rPr>
        <w:t>2</w:t>
      </w:r>
      <w:r>
        <w:rPr>
          <w:rFonts w:ascii="Book Antiqua" w:eastAsia="Times New Roman" w:hAnsi="Book Antiqua" w:cs="Arial"/>
          <w:b/>
          <w:bCs/>
          <w:i w:val="0"/>
          <w:color w:val="auto"/>
          <w:kern w:val="28"/>
          <w:szCs w:val="24"/>
          <w:lang w:val="es-ES" w:eastAsia="es-ES"/>
        </w:rPr>
        <w:t>0 mil beneficios previsionales</w:t>
      </w:r>
    </w:p>
    <w:p w14:paraId="6FC5C630" w14:textId="699378CC" w:rsidR="001E1FF2" w:rsidRPr="006D2CDA" w:rsidRDefault="001E1FF2" w:rsidP="00F1080F">
      <w:pPr>
        <w:spacing w:before="240"/>
        <w:jc w:val="both"/>
        <w:rPr>
          <w:rFonts w:ascii="Calibri Light" w:hAnsi="Calibri Light" w:cs="Calibri Light"/>
        </w:rPr>
      </w:pPr>
      <w:r w:rsidRPr="00CB6427">
        <w:rPr>
          <w:rFonts w:ascii="Calibri Light" w:hAnsi="Calibri Light"/>
        </w:rPr>
        <w:t>En</w:t>
      </w:r>
      <w:r w:rsidR="00C631C1" w:rsidRPr="00C631C1">
        <w:rPr>
          <w:rFonts w:ascii="Calibri Light" w:hAnsi="Calibri Light"/>
        </w:rPr>
        <w:t xml:space="preserve"> el marco de la política de transparencia que aplica el gobierno de la Provincia de Córdoba, el Ministerio de Finanzas </w:t>
      </w:r>
      <w:r w:rsidR="00C631C1">
        <w:rPr>
          <w:rFonts w:ascii="Calibri Light" w:hAnsi="Calibri Light"/>
        </w:rPr>
        <w:t>publicó</w:t>
      </w:r>
      <w:r w:rsidR="00C631C1" w:rsidRPr="0070559A">
        <w:rPr>
          <w:rFonts w:asciiTheme="minorHAnsi" w:hAnsiTheme="minorHAnsi"/>
        </w:rPr>
        <w:t xml:space="preserve"> </w:t>
      </w:r>
      <w:r w:rsidRPr="00CB6427">
        <w:rPr>
          <w:rFonts w:ascii="Calibri Light" w:hAnsi="Calibri Light"/>
        </w:rPr>
        <w:t xml:space="preserve">el </w:t>
      </w:r>
      <w:r w:rsidRPr="00CB6427">
        <w:rPr>
          <w:rFonts w:ascii="Calibri Light" w:hAnsi="Calibri Light"/>
          <w:i/>
        </w:rPr>
        <w:t xml:space="preserve">Informe </w:t>
      </w:r>
      <w:r w:rsidR="00C61988">
        <w:rPr>
          <w:rFonts w:ascii="Calibri Light" w:hAnsi="Calibri Light"/>
          <w:i/>
        </w:rPr>
        <w:t xml:space="preserve">sobre </w:t>
      </w:r>
      <w:r w:rsidR="00CE3FE4">
        <w:rPr>
          <w:rFonts w:ascii="Calibri Light" w:hAnsi="Calibri Light"/>
          <w:i/>
        </w:rPr>
        <w:t>Haberes Previsionales</w:t>
      </w:r>
      <w:r w:rsidR="007F4706">
        <w:rPr>
          <w:rFonts w:ascii="Calibri Light" w:hAnsi="Calibri Light"/>
          <w:i/>
        </w:rPr>
        <w:t xml:space="preserve"> de la Provincia de Córdoba</w:t>
      </w:r>
      <w:r w:rsidR="00CE3FE4">
        <w:rPr>
          <w:rFonts w:ascii="Calibri Light" w:hAnsi="Calibri Light"/>
          <w:iCs/>
        </w:rPr>
        <w:t xml:space="preserve">, </w:t>
      </w:r>
      <w:r w:rsidR="007A4AD1">
        <w:rPr>
          <w:rFonts w:ascii="Calibri Light" w:hAnsi="Calibri Light"/>
          <w:iCs/>
        </w:rPr>
        <w:t>reporte</w:t>
      </w:r>
      <w:r w:rsidR="00C631C1">
        <w:rPr>
          <w:rFonts w:ascii="Calibri Light" w:hAnsi="Calibri Light"/>
          <w:iCs/>
        </w:rPr>
        <w:t xml:space="preserve"> </w:t>
      </w:r>
      <w:r w:rsidR="00EF3C25">
        <w:rPr>
          <w:rFonts w:ascii="Calibri Light" w:hAnsi="Calibri Light"/>
          <w:iCs/>
        </w:rPr>
        <w:t xml:space="preserve">que </w:t>
      </w:r>
      <w:r w:rsidR="00C631C1">
        <w:rPr>
          <w:rFonts w:ascii="Calibri Light" w:hAnsi="Calibri Light"/>
          <w:iCs/>
        </w:rPr>
        <w:t xml:space="preserve">presenta </w:t>
      </w:r>
      <w:r w:rsidRPr="00CB6427">
        <w:rPr>
          <w:rFonts w:ascii="Calibri Light" w:hAnsi="Calibri Light"/>
        </w:rPr>
        <w:t xml:space="preserve">información detallada sobre </w:t>
      </w:r>
      <w:r w:rsidR="0025628D">
        <w:rPr>
          <w:rFonts w:ascii="Calibri Light" w:hAnsi="Calibri Light"/>
        </w:rPr>
        <w:t>la dinámica</w:t>
      </w:r>
      <w:r w:rsidR="007F4706">
        <w:rPr>
          <w:rFonts w:ascii="Calibri Light" w:hAnsi="Calibri Light"/>
        </w:rPr>
        <w:t xml:space="preserve"> de</w:t>
      </w:r>
      <w:r w:rsidR="00C61988">
        <w:rPr>
          <w:rFonts w:ascii="Calibri Light" w:hAnsi="Calibri Light"/>
        </w:rPr>
        <w:t xml:space="preserve"> </w:t>
      </w:r>
      <w:r w:rsidR="00227284">
        <w:rPr>
          <w:rFonts w:ascii="Calibri Light" w:hAnsi="Calibri Light"/>
        </w:rPr>
        <w:t xml:space="preserve">los </w:t>
      </w:r>
      <w:r w:rsidR="00CE3FE4">
        <w:rPr>
          <w:rFonts w:ascii="Calibri Light" w:hAnsi="Calibri Light"/>
        </w:rPr>
        <w:t>haberes</w:t>
      </w:r>
      <w:r w:rsidR="00227284">
        <w:rPr>
          <w:rFonts w:ascii="Calibri Light" w:hAnsi="Calibri Light"/>
        </w:rPr>
        <w:t xml:space="preserve"> y </w:t>
      </w:r>
      <w:r w:rsidR="00CE3FE4">
        <w:rPr>
          <w:rFonts w:ascii="Calibri Light" w:hAnsi="Calibri Light"/>
        </w:rPr>
        <w:t xml:space="preserve">beneficios </w:t>
      </w:r>
      <w:r w:rsidR="007F4706">
        <w:rPr>
          <w:rFonts w:ascii="Calibri Light" w:hAnsi="Calibri Light"/>
        </w:rPr>
        <w:t>de l</w:t>
      </w:r>
      <w:r w:rsidR="00CE3FE4">
        <w:rPr>
          <w:rFonts w:ascii="Calibri Light" w:hAnsi="Calibri Light"/>
        </w:rPr>
        <w:t xml:space="preserve">os </w:t>
      </w:r>
      <w:r w:rsidR="00866A9E">
        <w:rPr>
          <w:rFonts w:ascii="Calibri Light" w:hAnsi="Calibri Light"/>
        </w:rPr>
        <w:t>distintos</w:t>
      </w:r>
      <w:r w:rsidR="00CE3FE4">
        <w:rPr>
          <w:rFonts w:ascii="Calibri Light" w:hAnsi="Calibri Light"/>
        </w:rPr>
        <w:t xml:space="preserve"> sistemas </w:t>
      </w:r>
      <w:r w:rsidR="00866A9E">
        <w:rPr>
          <w:rFonts w:ascii="Calibri Light" w:hAnsi="Calibri Light"/>
        </w:rPr>
        <w:t>previsionales</w:t>
      </w:r>
      <w:r w:rsidR="00CE3FE4">
        <w:rPr>
          <w:rFonts w:ascii="Calibri Light" w:hAnsi="Calibri Light"/>
        </w:rPr>
        <w:t xml:space="preserve"> que</w:t>
      </w:r>
      <w:r w:rsidR="00866A9E">
        <w:rPr>
          <w:rFonts w:ascii="Calibri Light" w:hAnsi="Calibri Light"/>
        </w:rPr>
        <w:t xml:space="preserve"> conviven en la</w:t>
      </w:r>
      <w:r w:rsidR="007F4706">
        <w:rPr>
          <w:rFonts w:ascii="Calibri Light" w:hAnsi="Calibri Light"/>
        </w:rPr>
        <w:t xml:space="preserve"> </w:t>
      </w:r>
      <w:r w:rsidR="00866A9E">
        <w:rPr>
          <w:rFonts w:ascii="Calibri Light" w:hAnsi="Calibri Light"/>
        </w:rPr>
        <w:t>p</w:t>
      </w:r>
      <w:r w:rsidR="007F4706">
        <w:rPr>
          <w:rFonts w:ascii="Calibri Light" w:hAnsi="Calibri Light"/>
        </w:rPr>
        <w:t>rovincia</w:t>
      </w:r>
      <w:r w:rsidR="00866A9E">
        <w:rPr>
          <w:rFonts w:ascii="Calibri Light" w:hAnsi="Calibri Light"/>
        </w:rPr>
        <w:t xml:space="preserve"> de Córdoba</w:t>
      </w:r>
      <w:r w:rsidR="00725750">
        <w:rPr>
          <w:rFonts w:ascii="Calibri Light" w:hAnsi="Calibri Light"/>
        </w:rPr>
        <w:t>.</w:t>
      </w:r>
      <w:r w:rsidR="007A4AD1">
        <w:rPr>
          <w:rFonts w:ascii="Calibri Light" w:hAnsi="Calibri Light"/>
        </w:rPr>
        <w:t xml:space="preserve"> </w:t>
      </w:r>
      <w:r w:rsidR="00725750">
        <w:rPr>
          <w:rFonts w:ascii="Calibri Light" w:hAnsi="Calibri Light"/>
        </w:rPr>
        <w:t xml:space="preserve">Es un </w:t>
      </w:r>
      <w:r w:rsidR="0075733E">
        <w:rPr>
          <w:rFonts w:ascii="Calibri Light" w:hAnsi="Calibri Light"/>
        </w:rPr>
        <w:t>i</w:t>
      </w:r>
      <w:r w:rsidR="00725750">
        <w:rPr>
          <w:rFonts w:ascii="Calibri Light" w:hAnsi="Calibri Light"/>
        </w:rPr>
        <w:t xml:space="preserve">nforme que se actualiza </w:t>
      </w:r>
      <w:r w:rsidR="00866A9E">
        <w:rPr>
          <w:rFonts w:ascii="Calibri Light" w:hAnsi="Calibri Light"/>
        </w:rPr>
        <w:t>trimestralmente</w:t>
      </w:r>
      <w:r w:rsidR="00725750">
        <w:rPr>
          <w:rFonts w:ascii="Calibri Light" w:hAnsi="Calibri Light"/>
        </w:rPr>
        <w:t xml:space="preserve"> y que acumula </w:t>
      </w:r>
      <w:r w:rsidR="00EF3C25">
        <w:rPr>
          <w:rFonts w:ascii="Calibri Light" w:hAnsi="Calibri Light"/>
        </w:rPr>
        <w:t>datos</w:t>
      </w:r>
      <w:r w:rsidR="00C96082">
        <w:rPr>
          <w:rFonts w:ascii="Calibri Light" w:hAnsi="Calibri Light"/>
        </w:rPr>
        <w:t xml:space="preserve"> para </w:t>
      </w:r>
      <w:r w:rsidR="007A4AD1">
        <w:rPr>
          <w:rFonts w:ascii="Calibri Light" w:hAnsi="Calibri Light"/>
        </w:rPr>
        <w:t xml:space="preserve">un período que abarca </w:t>
      </w:r>
      <w:r w:rsidR="00866A9E">
        <w:rPr>
          <w:rFonts w:ascii="Calibri Light" w:hAnsi="Calibri Light"/>
        </w:rPr>
        <w:t xml:space="preserve">más de </w:t>
      </w:r>
      <w:r w:rsidR="002C35E4">
        <w:rPr>
          <w:rFonts w:ascii="Calibri Light" w:hAnsi="Calibri Light"/>
        </w:rPr>
        <w:t>8</w:t>
      </w:r>
      <w:r w:rsidR="007A4AD1">
        <w:rPr>
          <w:rFonts w:ascii="Calibri Light" w:hAnsi="Calibri Light"/>
        </w:rPr>
        <w:t xml:space="preserve"> años (</w:t>
      </w:r>
      <w:r w:rsidR="00866A9E">
        <w:rPr>
          <w:rFonts w:ascii="Calibri Light" w:hAnsi="Calibri Light"/>
        </w:rPr>
        <w:t>I-</w:t>
      </w:r>
      <w:r w:rsidR="007A4AD1">
        <w:rPr>
          <w:rFonts w:ascii="Calibri Light" w:hAnsi="Calibri Light"/>
        </w:rPr>
        <w:t>2015</w:t>
      </w:r>
      <w:r w:rsidR="00866A9E">
        <w:rPr>
          <w:rFonts w:ascii="Calibri Light" w:hAnsi="Calibri Light"/>
        </w:rPr>
        <w:t xml:space="preserve"> al I</w:t>
      </w:r>
      <w:r w:rsidR="00457030">
        <w:rPr>
          <w:rFonts w:ascii="Calibri Light" w:hAnsi="Calibri Light"/>
        </w:rPr>
        <w:t>I</w:t>
      </w:r>
      <w:r w:rsidR="00866A9E">
        <w:rPr>
          <w:rFonts w:ascii="Calibri Light" w:hAnsi="Calibri Light"/>
        </w:rPr>
        <w:t>-</w:t>
      </w:r>
      <w:r w:rsidR="007A4AD1">
        <w:rPr>
          <w:rFonts w:ascii="Calibri Light" w:hAnsi="Calibri Light"/>
        </w:rPr>
        <w:t>202</w:t>
      </w:r>
      <w:r w:rsidR="00866A9E">
        <w:rPr>
          <w:rFonts w:ascii="Calibri Light" w:hAnsi="Calibri Light"/>
        </w:rPr>
        <w:t>3</w:t>
      </w:r>
      <w:r w:rsidR="007A4AD1">
        <w:rPr>
          <w:rFonts w:ascii="Calibri Light" w:hAnsi="Calibri Light"/>
        </w:rPr>
        <w:t>)</w:t>
      </w:r>
      <w:r w:rsidR="006D2CDA">
        <w:rPr>
          <w:rFonts w:ascii="Calibri Light" w:hAnsi="Calibri Light"/>
        </w:rPr>
        <w:t xml:space="preserve">. El Informe completo, con desagregación </w:t>
      </w:r>
      <w:r w:rsidR="00424F48">
        <w:rPr>
          <w:rFonts w:ascii="Calibri Light" w:hAnsi="Calibri Light"/>
        </w:rPr>
        <w:t xml:space="preserve">según tipo de beneficio y </w:t>
      </w:r>
      <w:r w:rsidR="006D2CDA">
        <w:rPr>
          <w:rFonts w:ascii="Calibri Light" w:hAnsi="Calibri Light"/>
        </w:rPr>
        <w:t xml:space="preserve">a nivel de cada uno de los </w:t>
      </w:r>
      <w:r w:rsidR="006C2E6A">
        <w:rPr>
          <w:rFonts w:ascii="Calibri Light" w:hAnsi="Calibri Light"/>
        </w:rPr>
        <w:t>sistemas previsionales</w:t>
      </w:r>
      <w:r w:rsidR="006D2CDA">
        <w:rPr>
          <w:rFonts w:ascii="Calibri Light" w:hAnsi="Calibri Light"/>
        </w:rPr>
        <w:t xml:space="preserve">, </w:t>
      </w:r>
      <w:r w:rsidRPr="00A56BE5">
        <w:rPr>
          <w:rFonts w:ascii="Calibri Light" w:hAnsi="Calibri Light"/>
        </w:rPr>
        <w:t xml:space="preserve">puede consultarse </w:t>
      </w:r>
      <w:hyperlink r:id="rId8" w:history="1">
        <w:r w:rsidRPr="009A3010">
          <w:rPr>
            <w:rStyle w:val="Hipervnculo"/>
            <w:rFonts w:ascii="Calibri Light" w:hAnsi="Calibri Light"/>
            <w:color w:val="4E67C8" w:themeColor="accent1"/>
          </w:rPr>
          <w:t>aquí</w:t>
        </w:r>
      </w:hyperlink>
      <w:r w:rsidRPr="00A56BE5">
        <w:rPr>
          <w:rFonts w:ascii="Calibri Light" w:hAnsi="Calibri Light"/>
        </w:rPr>
        <w:t>.</w:t>
      </w:r>
      <w:r>
        <w:rPr>
          <w:rFonts w:asciiTheme="minorHAnsi" w:hAnsiTheme="minorHAnsi"/>
        </w:rPr>
        <w:t xml:space="preserve"> </w:t>
      </w:r>
      <w:r w:rsidR="006D2CDA" w:rsidRPr="006D2CDA">
        <w:rPr>
          <w:rFonts w:ascii="Calibri Light" w:hAnsi="Calibri Light" w:cs="Calibri Light"/>
        </w:rPr>
        <w:t xml:space="preserve">Se trata de otra herramienta que </w:t>
      </w:r>
      <w:r w:rsidR="006D2CDA">
        <w:rPr>
          <w:rFonts w:ascii="Calibri Light" w:hAnsi="Calibri Light" w:cs="Calibri Light"/>
        </w:rPr>
        <w:t>puso en funcionamiento el Gobierno de la Provincia de Córdoba a los fines de</w:t>
      </w:r>
      <w:r w:rsidR="006D2CDA" w:rsidRPr="006D2CDA">
        <w:rPr>
          <w:rFonts w:ascii="Calibri Light" w:hAnsi="Calibri Light" w:cs="Calibri Light"/>
        </w:rPr>
        <w:t xml:space="preserve"> aportar </w:t>
      </w:r>
      <w:r w:rsidR="000C1D31">
        <w:rPr>
          <w:rFonts w:ascii="Calibri Light" w:hAnsi="Calibri Light" w:cs="Calibri Light"/>
        </w:rPr>
        <w:t xml:space="preserve">evidencias </w:t>
      </w:r>
      <w:r w:rsidR="00EF3C25">
        <w:rPr>
          <w:rFonts w:ascii="Calibri Light" w:hAnsi="Calibri Light" w:cs="Calibri Light"/>
        </w:rPr>
        <w:t xml:space="preserve">que contribuyan a </w:t>
      </w:r>
      <w:r w:rsidR="000C1D31" w:rsidRPr="000C1D31">
        <w:rPr>
          <w:rFonts w:ascii="Calibri Light" w:hAnsi="Calibri Light" w:cs="Calibri Light"/>
        </w:rPr>
        <w:t>un mejor entendimiento de los desafíos que enfrentan las políticas públicas</w:t>
      </w:r>
      <w:r w:rsidR="006D2CDA" w:rsidRPr="006D2CDA">
        <w:rPr>
          <w:rFonts w:ascii="Calibri Light" w:hAnsi="Calibri Light" w:cs="Calibri Light"/>
        </w:rPr>
        <w:t>.</w:t>
      </w:r>
    </w:p>
    <w:p w14:paraId="36282507" w14:textId="448F5805" w:rsidR="00EF3C25" w:rsidRDefault="00457030" w:rsidP="001152F9">
      <w:pPr>
        <w:spacing w:before="240"/>
        <w:jc w:val="both"/>
        <w:rPr>
          <w:rFonts w:ascii="Calibri Light" w:hAnsi="Calibri Light"/>
        </w:rPr>
      </w:pPr>
      <w:r>
        <w:rPr>
          <w:rFonts w:ascii="Calibri Light" w:hAnsi="Calibri Light"/>
        </w:rPr>
        <w:t>Al cierre del segundo trimestre</w:t>
      </w:r>
      <w:r w:rsidR="00EF3C25">
        <w:rPr>
          <w:rFonts w:ascii="Calibri Light" w:hAnsi="Calibri Light"/>
        </w:rPr>
        <w:t xml:space="preserve"> del 2023 se percibieron en </w:t>
      </w:r>
      <w:r w:rsidR="00EF3C25" w:rsidRPr="00020621">
        <w:rPr>
          <w:rFonts w:ascii="Calibri Light" w:hAnsi="Calibri Light"/>
        </w:rPr>
        <w:t xml:space="preserve">Córdoba </w:t>
      </w:r>
      <w:r w:rsidR="00020621" w:rsidRPr="00020621">
        <w:rPr>
          <w:rFonts w:ascii="Calibri Light" w:hAnsi="Calibri Light"/>
        </w:rPr>
        <w:t>cerca de</w:t>
      </w:r>
      <w:r w:rsidR="00EF3C25" w:rsidRPr="00020621">
        <w:rPr>
          <w:rFonts w:ascii="Calibri Light" w:hAnsi="Calibri Light"/>
        </w:rPr>
        <w:t xml:space="preserve"> 8</w:t>
      </w:r>
      <w:r w:rsidR="00020621" w:rsidRPr="00020621">
        <w:rPr>
          <w:rFonts w:ascii="Calibri Light" w:hAnsi="Calibri Light"/>
        </w:rPr>
        <w:t>23</w:t>
      </w:r>
      <w:r w:rsidR="00EF3C25" w:rsidRPr="00020621">
        <w:rPr>
          <w:rFonts w:ascii="Calibri Light" w:hAnsi="Calibri Light"/>
        </w:rPr>
        <w:t xml:space="preserve"> mil beneficios</w:t>
      </w:r>
      <w:r w:rsidR="00EF3C25">
        <w:rPr>
          <w:rFonts w:ascii="Calibri Light" w:hAnsi="Calibri Light"/>
        </w:rPr>
        <w:t xml:space="preserve"> previsionales. Cabe aclarar que una misma persona puede percibir más de un beneficio, por lo tanto, la cantidad de beneficiarios es menor a la de beneficios. Del total de beneficios</w:t>
      </w:r>
      <w:r w:rsidR="009F7348">
        <w:rPr>
          <w:rFonts w:ascii="Calibri Light" w:hAnsi="Calibri Light"/>
        </w:rPr>
        <w:t>,</w:t>
      </w:r>
      <w:r w:rsidR="00EF3C25">
        <w:rPr>
          <w:rFonts w:ascii="Calibri Light" w:hAnsi="Calibri Light"/>
        </w:rPr>
        <w:t xml:space="preserve"> aproximadamente dos tercios son jubilaciones y el restante tercio pensiones. </w:t>
      </w:r>
      <w:r w:rsidR="0095755E">
        <w:rPr>
          <w:rFonts w:ascii="Calibri Light" w:hAnsi="Calibri Light"/>
        </w:rPr>
        <w:t xml:space="preserve">La desagregación por sistema muestra que ANSES paga el 84% del total de los beneficios, la Caja provincial el 14% y las </w:t>
      </w:r>
      <w:r w:rsidR="00AE5959">
        <w:rPr>
          <w:rFonts w:ascii="Calibri Light" w:hAnsi="Calibri Light"/>
        </w:rPr>
        <w:t>C</w:t>
      </w:r>
      <w:r w:rsidR="0095755E">
        <w:rPr>
          <w:rFonts w:ascii="Calibri Light" w:hAnsi="Calibri Light"/>
        </w:rPr>
        <w:t xml:space="preserve">ajas </w:t>
      </w:r>
      <w:r w:rsidR="00AE5959">
        <w:rPr>
          <w:rFonts w:ascii="Calibri Light" w:hAnsi="Calibri Light"/>
        </w:rPr>
        <w:t>P</w:t>
      </w:r>
      <w:r w:rsidR="0095755E">
        <w:rPr>
          <w:rFonts w:ascii="Calibri Light" w:hAnsi="Calibri Light"/>
        </w:rPr>
        <w:t>rofesionales el 2%</w:t>
      </w:r>
      <w:r w:rsidR="00020621">
        <w:rPr>
          <w:rFonts w:ascii="Calibri Light" w:hAnsi="Calibri Light"/>
        </w:rPr>
        <w:t xml:space="preserve"> restante</w:t>
      </w:r>
      <w:r w:rsidR="0095755E">
        <w:rPr>
          <w:rFonts w:ascii="Calibri Light" w:hAnsi="Calibri Light"/>
        </w:rPr>
        <w:t>. Entre las 5 cajas profesionales</w:t>
      </w:r>
      <w:r w:rsidR="00494100">
        <w:rPr>
          <w:rFonts w:ascii="Calibri Light" w:hAnsi="Calibri Light"/>
        </w:rPr>
        <w:t>,</w:t>
      </w:r>
      <w:r w:rsidR="0095755E">
        <w:rPr>
          <w:rFonts w:ascii="Calibri Light" w:hAnsi="Calibri Light"/>
        </w:rPr>
        <w:t xml:space="preserve"> la de Salud es la de mayores dimensiones ya que gestiona la mitad del total de beneficios que paga este </w:t>
      </w:r>
      <w:r w:rsidR="00494100">
        <w:rPr>
          <w:rFonts w:ascii="Calibri Light" w:hAnsi="Calibri Light"/>
        </w:rPr>
        <w:t>sistema</w:t>
      </w:r>
      <w:r w:rsidR="0095755E">
        <w:rPr>
          <w:rFonts w:ascii="Calibri Light" w:hAnsi="Calibri Light"/>
        </w:rPr>
        <w:t xml:space="preserve"> de previsión </w:t>
      </w:r>
      <w:r w:rsidR="00A7042B">
        <w:rPr>
          <w:rFonts w:ascii="Calibri Light" w:hAnsi="Calibri Light"/>
        </w:rPr>
        <w:t>social</w:t>
      </w:r>
      <w:r w:rsidR="00A7042B" w:rsidRPr="00A7042B">
        <w:rPr>
          <w:rFonts w:ascii="Calibri Light" w:hAnsi="Calibri Light"/>
        </w:rPr>
        <w:t xml:space="preserve"> </w:t>
      </w:r>
      <w:r w:rsidR="00A7042B">
        <w:rPr>
          <w:rFonts w:ascii="Calibri Light" w:hAnsi="Calibri Light"/>
        </w:rPr>
        <w:t>(</w:t>
      </w:r>
      <w:r w:rsidR="00A7042B" w:rsidRPr="00494100">
        <w:rPr>
          <w:rFonts w:ascii="Calibri Light" w:hAnsi="Calibri Light"/>
          <w:i/>
          <w:iCs/>
        </w:rPr>
        <w:t>Gráfico 1</w:t>
      </w:r>
      <w:r w:rsidR="00A7042B">
        <w:rPr>
          <w:rFonts w:ascii="Calibri Light" w:hAnsi="Calibri Light"/>
        </w:rPr>
        <w:t>).</w:t>
      </w:r>
    </w:p>
    <w:p w14:paraId="084F198E" w14:textId="6DAD9478" w:rsidR="00A7042B" w:rsidRDefault="00A7042B" w:rsidP="00A7042B">
      <w:pPr>
        <w:spacing w:before="240"/>
        <w:jc w:val="both"/>
        <w:rPr>
          <w:rFonts w:ascii="Calibri Light" w:hAnsi="Calibri Light" w:cs="Calibri Light"/>
        </w:rPr>
      </w:pPr>
      <w:r>
        <w:rPr>
          <w:rFonts w:ascii="Calibri Light" w:hAnsi="Calibri Light" w:cs="Calibri Light"/>
        </w:rPr>
        <w:t>La cantidad de beneficios (total jubilaciones y pensiones) previsionales creció un 1</w:t>
      </w:r>
      <w:r w:rsidR="008E2C11">
        <w:rPr>
          <w:rFonts w:ascii="Calibri Light" w:hAnsi="Calibri Light" w:cs="Calibri Light"/>
        </w:rPr>
        <w:t>5</w:t>
      </w:r>
      <w:r>
        <w:rPr>
          <w:rFonts w:ascii="Calibri Light" w:hAnsi="Calibri Light" w:cs="Calibri Light"/>
        </w:rPr>
        <w:t xml:space="preserve">% entre el </w:t>
      </w:r>
      <w:r w:rsidR="008E2C11">
        <w:rPr>
          <w:rFonts w:ascii="Calibri Light" w:hAnsi="Calibri Light" w:cs="Calibri Light"/>
        </w:rPr>
        <w:t>segundo</w:t>
      </w:r>
      <w:r>
        <w:rPr>
          <w:rFonts w:ascii="Calibri Light" w:hAnsi="Calibri Light" w:cs="Calibri Light"/>
        </w:rPr>
        <w:t xml:space="preserve"> trimestre de 2015 y el de 2023, es decir, 1,</w:t>
      </w:r>
      <w:r w:rsidR="00C002AB">
        <w:rPr>
          <w:rFonts w:ascii="Calibri Light" w:hAnsi="Calibri Light" w:cs="Calibri Light"/>
        </w:rPr>
        <w:t>7</w:t>
      </w:r>
      <w:r>
        <w:rPr>
          <w:rFonts w:ascii="Calibri Light" w:hAnsi="Calibri Light" w:cs="Calibri Light"/>
        </w:rPr>
        <w:t>% de crecimiento promedio anual en los últimos 8 años</w:t>
      </w:r>
      <w:r w:rsidR="008D28B0">
        <w:rPr>
          <w:rFonts w:ascii="Calibri Light" w:hAnsi="Calibri Light" w:cs="Calibri Light"/>
        </w:rPr>
        <w:t xml:space="preserve">. En términos absolutos implica </w:t>
      </w:r>
      <w:r>
        <w:rPr>
          <w:rFonts w:ascii="Calibri Light" w:hAnsi="Calibri Light" w:cs="Calibri Light"/>
        </w:rPr>
        <w:t>1</w:t>
      </w:r>
      <w:r w:rsidR="00C002AB">
        <w:rPr>
          <w:rFonts w:ascii="Calibri Light" w:hAnsi="Calibri Light" w:cs="Calibri Light"/>
        </w:rPr>
        <w:t>06</w:t>
      </w:r>
      <w:r w:rsidR="008D28B0">
        <w:rPr>
          <w:rFonts w:ascii="Calibri Light" w:hAnsi="Calibri Light" w:cs="Calibri Light"/>
        </w:rPr>
        <w:t xml:space="preserve"> mil</w:t>
      </w:r>
      <w:r>
        <w:rPr>
          <w:rFonts w:ascii="Calibri Light" w:hAnsi="Calibri Light" w:cs="Calibri Light"/>
        </w:rPr>
        <w:t xml:space="preserve"> nuevos beneficios</w:t>
      </w:r>
      <w:r w:rsidR="00494100">
        <w:rPr>
          <w:rFonts w:ascii="Calibri Light" w:hAnsi="Calibri Light" w:cs="Calibri Light"/>
        </w:rPr>
        <w:t>,</w:t>
      </w:r>
      <w:r w:rsidR="008D28B0">
        <w:rPr>
          <w:rFonts w:ascii="Calibri Light" w:hAnsi="Calibri Light" w:cs="Calibri Light"/>
        </w:rPr>
        <w:t xml:space="preserve"> a razón de unos 1</w:t>
      </w:r>
      <w:r w:rsidR="00C002AB">
        <w:rPr>
          <w:rFonts w:ascii="Calibri Light" w:hAnsi="Calibri Light" w:cs="Calibri Light"/>
        </w:rPr>
        <w:t>3</w:t>
      </w:r>
      <w:r w:rsidR="008D28B0">
        <w:rPr>
          <w:rFonts w:ascii="Calibri Light" w:hAnsi="Calibri Light" w:cs="Calibri Light"/>
        </w:rPr>
        <w:t xml:space="preserve"> mil por año</w:t>
      </w:r>
      <w:r>
        <w:rPr>
          <w:rFonts w:ascii="Calibri Light" w:hAnsi="Calibri Light" w:cs="Calibri Light"/>
        </w:rPr>
        <w:t>. En términos porcentuales, el mayor incremento se presentó en las Cajas de Profesionales (+50% a lo largo de 8 años, 5,2% promedio anual), mientras que los restantes sistemas presentan un crecimiento de entre 1</w:t>
      </w:r>
      <w:r w:rsidR="00C002AB">
        <w:rPr>
          <w:rFonts w:ascii="Calibri Light" w:hAnsi="Calibri Light" w:cs="Calibri Light"/>
        </w:rPr>
        <w:t>4</w:t>
      </w:r>
      <w:r>
        <w:rPr>
          <w:rFonts w:ascii="Calibri Light" w:hAnsi="Calibri Light" w:cs="Calibri Light"/>
        </w:rPr>
        <w:t>% y 16% (1,</w:t>
      </w:r>
      <w:r w:rsidR="00C002AB">
        <w:rPr>
          <w:rFonts w:ascii="Calibri Light" w:hAnsi="Calibri Light" w:cs="Calibri Light"/>
        </w:rPr>
        <w:t>6</w:t>
      </w:r>
      <w:r>
        <w:rPr>
          <w:rFonts w:ascii="Calibri Light" w:hAnsi="Calibri Light" w:cs="Calibri Light"/>
        </w:rPr>
        <w:t>% y 1,9% promedio anual). En relación a la trayectoria poblacional, el crecimiento de los beneficios previsionales en la Provincia supera al crecimiento de la población, ya que los datos del último censo (año 2022) muestran un crecimiento medio de la población de Córdoba de un 1,5% promedio anual entre 2010 y 2022. Lamentablemente no se cuenta aún con datos censales 2022 por grupos poblacionales, lo que sería más relevante a la hora de analizar la trayectoria del sistema previsional en cuanto a cantidad de beneficios (</w:t>
      </w:r>
      <w:r w:rsidR="008D28B0">
        <w:rPr>
          <w:rFonts w:ascii="Calibri Light" w:hAnsi="Calibri Light" w:cs="Calibri Light"/>
          <w:i/>
          <w:iCs/>
        </w:rPr>
        <w:t xml:space="preserve">Gráfico </w:t>
      </w:r>
      <w:r w:rsidR="00494100">
        <w:rPr>
          <w:rFonts w:ascii="Calibri Light" w:hAnsi="Calibri Light" w:cs="Calibri Light"/>
          <w:i/>
          <w:iCs/>
        </w:rPr>
        <w:t>2</w:t>
      </w:r>
      <w:r>
        <w:rPr>
          <w:rFonts w:ascii="Calibri Light" w:hAnsi="Calibri Light" w:cs="Calibri Light"/>
        </w:rPr>
        <w:t xml:space="preserve">).   </w:t>
      </w:r>
    </w:p>
    <w:p w14:paraId="5B00C4D8" w14:textId="45F118B8" w:rsidR="001152F9" w:rsidRDefault="003D09BE" w:rsidP="001152F9">
      <w:pPr>
        <w:spacing w:before="240"/>
        <w:jc w:val="both"/>
        <w:rPr>
          <w:rFonts w:ascii="Calibri Light" w:hAnsi="Calibri Light" w:cs="Calibri Light"/>
        </w:rPr>
      </w:pPr>
      <w:r>
        <w:rPr>
          <w:rFonts w:ascii="Calibri Light" w:hAnsi="Calibri Light"/>
        </w:rPr>
        <w:t>A nivel agregado</w:t>
      </w:r>
      <w:r w:rsidR="001152F9">
        <w:rPr>
          <w:rFonts w:ascii="Calibri Light" w:hAnsi="Calibri Light"/>
        </w:rPr>
        <w:t>, los jubilados de la Provincia de Córdoba cuentan con un haber promedio de</w:t>
      </w:r>
      <w:r w:rsidR="00B2022E">
        <w:rPr>
          <w:rFonts w:ascii="Calibri Light" w:hAnsi="Calibri Light"/>
        </w:rPr>
        <w:t xml:space="preserve"> $1</w:t>
      </w:r>
      <w:r w:rsidR="00877C57">
        <w:rPr>
          <w:rFonts w:ascii="Calibri Light" w:hAnsi="Calibri Light"/>
        </w:rPr>
        <w:t>38.740</w:t>
      </w:r>
      <w:r w:rsidR="00B2022E">
        <w:rPr>
          <w:rFonts w:ascii="Calibri Light" w:hAnsi="Calibri Light"/>
        </w:rPr>
        <w:t xml:space="preserve">, aunque con una gran discrepancia según sea el sistema previsional que los encuadre. </w:t>
      </w:r>
      <w:r w:rsidR="00444AE3">
        <w:rPr>
          <w:rFonts w:ascii="Calibri Light" w:hAnsi="Calibri Light"/>
        </w:rPr>
        <w:t>M</w:t>
      </w:r>
      <w:r w:rsidR="00B2022E">
        <w:rPr>
          <w:rFonts w:ascii="Calibri Light" w:hAnsi="Calibri Light"/>
        </w:rPr>
        <w:t>ientras que</w:t>
      </w:r>
      <w:r w:rsidR="00F82708">
        <w:rPr>
          <w:rFonts w:ascii="Calibri Light" w:hAnsi="Calibri Light"/>
        </w:rPr>
        <w:t xml:space="preserve"> </w:t>
      </w:r>
      <w:r w:rsidR="001152F9" w:rsidRPr="00C3386F">
        <w:rPr>
          <w:rFonts w:ascii="Calibri Light" w:hAnsi="Calibri Light" w:cs="Calibri Light"/>
        </w:rPr>
        <w:t xml:space="preserve">el haber </w:t>
      </w:r>
      <w:r w:rsidR="00F82708">
        <w:rPr>
          <w:rFonts w:ascii="Calibri Light" w:hAnsi="Calibri Light" w:cs="Calibri Light"/>
        </w:rPr>
        <w:t xml:space="preserve">jubilatorio </w:t>
      </w:r>
      <w:r w:rsidR="001152F9" w:rsidRPr="00C3386F">
        <w:rPr>
          <w:rFonts w:ascii="Calibri Light" w:hAnsi="Calibri Light" w:cs="Calibri Light"/>
        </w:rPr>
        <w:t xml:space="preserve">promedio de </w:t>
      </w:r>
      <w:r w:rsidR="001152F9">
        <w:rPr>
          <w:rFonts w:ascii="Calibri Light" w:hAnsi="Calibri Light" w:cs="Calibri Light"/>
        </w:rPr>
        <w:t>l</w:t>
      </w:r>
      <w:r w:rsidR="001152F9" w:rsidRPr="00C3386F">
        <w:rPr>
          <w:rFonts w:ascii="Calibri Light" w:hAnsi="Calibri Light" w:cs="Calibri Light"/>
        </w:rPr>
        <w:t>a Caja</w:t>
      </w:r>
      <w:r w:rsidR="00F82708">
        <w:rPr>
          <w:rFonts w:ascii="Calibri Light" w:hAnsi="Calibri Light" w:cs="Calibri Light"/>
        </w:rPr>
        <w:t xml:space="preserve"> </w:t>
      </w:r>
      <w:r w:rsidR="00444AE3">
        <w:rPr>
          <w:rFonts w:ascii="Calibri Light" w:hAnsi="Calibri Light" w:cs="Calibri Light"/>
        </w:rPr>
        <w:t xml:space="preserve">Previsional </w:t>
      </w:r>
      <w:r w:rsidR="00F82708">
        <w:rPr>
          <w:rFonts w:ascii="Calibri Light" w:hAnsi="Calibri Light" w:cs="Calibri Light"/>
        </w:rPr>
        <w:t xml:space="preserve">de empleados públicos de la Provincia superó al cierre del </w:t>
      </w:r>
      <w:r w:rsidR="00877C57">
        <w:rPr>
          <w:rFonts w:ascii="Calibri Light" w:hAnsi="Calibri Light" w:cs="Calibri Light"/>
        </w:rPr>
        <w:t>segundo</w:t>
      </w:r>
      <w:r w:rsidR="00F82708">
        <w:rPr>
          <w:rFonts w:ascii="Calibri Light" w:hAnsi="Calibri Light" w:cs="Calibri Light"/>
        </w:rPr>
        <w:t xml:space="preserve"> trimestre de 2023 los </w:t>
      </w:r>
      <w:r w:rsidR="001152F9" w:rsidRPr="00C3386F">
        <w:rPr>
          <w:rFonts w:ascii="Calibri Light" w:hAnsi="Calibri Light" w:cs="Calibri Light"/>
        </w:rPr>
        <w:t>$</w:t>
      </w:r>
      <w:r w:rsidR="00877C57">
        <w:rPr>
          <w:rFonts w:ascii="Calibri Light" w:hAnsi="Calibri Light" w:cs="Calibri Light"/>
        </w:rPr>
        <w:t>300</w:t>
      </w:r>
      <w:r w:rsidR="001152F9">
        <w:rPr>
          <w:rFonts w:ascii="Calibri Light" w:hAnsi="Calibri Light" w:cs="Calibri Light"/>
        </w:rPr>
        <w:t xml:space="preserve"> mil</w:t>
      </w:r>
      <w:r w:rsidR="001152F9" w:rsidRPr="00C3386F">
        <w:rPr>
          <w:rFonts w:ascii="Calibri Light" w:hAnsi="Calibri Light" w:cs="Calibri Light"/>
        </w:rPr>
        <w:t xml:space="preserve">, </w:t>
      </w:r>
      <w:r w:rsidR="00F82708">
        <w:rPr>
          <w:rFonts w:ascii="Calibri Light" w:hAnsi="Calibri Light" w:cs="Calibri Light"/>
        </w:rPr>
        <w:t>la jubilación media</w:t>
      </w:r>
      <w:r w:rsidR="001152F9" w:rsidRPr="00C3386F">
        <w:rPr>
          <w:rFonts w:ascii="Calibri Light" w:hAnsi="Calibri Light" w:cs="Calibri Light"/>
        </w:rPr>
        <w:t xml:space="preserve"> de los beneficiarios cordobeses de la ANS</w:t>
      </w:r>
      <w:r w:rsidR="00444AE3">
        <w:rPr>
          <w:rFonts w:ascii="Calibri Light" w:hAnsi="Calibri Light" w:cs="Calibri Light"/>
        </w:rPr>
        <w:t>E</w:t>
      </w:r>
      <w:r w:rsidR="001152F9" w:rsidRPr="00C3386F">
        <w:rPr>
          <w:rFonts w:ascii="Calibri Light" w:hAnsi="Calibri Light" w:cs="Calibri Light"/>
        </w:rPr>
        <w:t xml:space="preserve">S </w:t>
      </w:r>
      <w:r w:rsidR="001152F9">
        <w:rPr>
          <w:rFonts w:ascii="Calibri Light" w:hAnsi="Calibri Light" w:cs="Calibri Light"/>
        </w:rPr>
        <w:t xml:space="preserve">solo </w:t>
      </w:r>
      <w:r w:rsidR="00F82708">
        <w:rPr>
          <w:rFonts w:ascii="Calibri Light" w:hAnsi="Calibri Light" w:cs="Calibri Light"/>
        </w:rPr>
        <w:t>superó</w:t>
      </w:r>
      <w:r w:rsidR="001152F9">
        <w:rPr>
          <w:rFonts w:ascii="Calibri Light" w:hAnsi="Calibri Light" w:cs="Calibri Light"/>
        </w:rPr>
        <w:t xml:space="preserve"> los </w:t>
      </w:r>
      <w:r w:rsidR="001152F9" w:rsidRPr="00C3386F">
        <w:rPr>
          <w:rFonts w:ascii="Calibri Light" w:hAnsi="Calibri Light" w:cs="Calibri Light"/>
        </w:rPr>
        <w:t>$</w:t>
      </w:r>
      <w:r w:rsidR="00877C57">
        <w:rPr>
          <w:rFonts w:ascii="Calibri Light" w:hAnsi="Calibri Light" w:cs="Calibri Light"/>
        </w:rPr>
        <w:t>10</w:t>
      </w:r>
      <w:r w:rsidR="00F82708">
        <w:rPr>
          <w:rFonts w:ascii="Calibri Light" w:hAnsi="Calibri Light" w:cs="Calibri Light"/>
        </w:rPr>
        <w:t>0</w:t>
      </w:r>
      <w:r w:rsidR="001152F9">
        <w:rPr>
          <w:rFonts w:ascii="Calibri Light" w:hAnsi="Calibri Light" w:cs="Calibri Light"/>
        </w:rPr>
        <w:t xml:space="preserve"> mil</w:t>
      </w:r>
      <w:r w:rsidR="00F82708">
        <w:rPr>
          <w:rFonts w:ascii="Calibri Light" w:hAnsi="Calibri Light" w:cs="Calibri Light"/>
        </w:rPr>
        <w:t xml:space="preserve"> en igual período; es decir que, </w:t>
      </w:r>
      <w:r w:rsidR="001152F9">
        <w:rPr>
          <w:rFonts w:ascii="Calibri Light" w:hAnsi="Calibri Light" w:cs="Calibri Light"/>
        </w:rPr>
        <w:t xml:space="preserve">el nivel de haberes </w:t>
      </w:r>
      <w:r w:rsidR="00F82708">
        <w:rPr>
          <w:rFonts w:ascii="Calibri Light" w:hAnsi="Calibri Light" w:cs="Calibri Light"/>
        </w:rPr>
        <w:t>jubilatorios</w:t>
      </w:r>
      <w:r w:rsidR="001152F9" w:rsidRPr="00C3386F">
        <w:rPr>
          <w:rFonts w:ascii="Calibri Light" w:hAnsi="Calibri Light" w:cs="Calibri Light"/>
        </w:rPr>
        <w:t xml:space="preserve"> de </w:t>
      </w:r>
      <w:r w:rsidR="001152F9">
        <w:rPr>
          <w:rFonts w:ascii="Calibri Light" w:hAnsi="Calibri Light" w:cs="Calibri Light"/>
        </w:rPr>
        <w:t>l</w:t>
      </w:r>
      <w:r w:rsidR="001152F9" w:rsidRPr="00C3386F">
        <w:rPr>
          <w:rFonts w:ascii="Calibri Light" w:hAnsi="Calibri Light" w:cs="Calibri Light"/>
        </w:rPr>
        <w:t xml:space="preserve">a Caja </w:t>
      </w:r>
      <w:r w:rsidR="001152F9">
        <w:rPr>
          <w:rFonts w:ascii="Calibri Light" w:hAnsi="Calibri Light" w:cs="Calibri Light"/>
        </w:rPr>
        <w:t xml:space="preserve">es </w:t>
      </w:r>
      <w:r w:rsidR="00F82708">
        <w:rPr>
          <w:rFonts w:ascii="Calibri Light" w:hAnsi="Calibri Light" w:cs="Calibri Light"/>
        </w:rPr>
        <w:t xml:space="preserve">casi 3 </w:t>
      </w:r>
      <w:r w:rsidR="001152F9" w:rsidRPr="00C3386F">
        <w:rPr>
          <w:rFonts w:ascii="Calibri Light" w:hAnsi="Calibri Light" w:cs="Calibri Light"/>
        </w:rPr>
        <w:t>veces</w:t>
      </w:r>
      <w:r w:rsidR="00F82708">
        <w:rPr>
          <w:rFonts w:ascii="Calibri Light" w:hAnsi="Calibri Light" w:cs="Calibri Light"/>
        </w:rPr>
        <w:t>, en promedio,</w:t>
      </w:r>
      <w:r w:rsidR="001152F9" w:rsidRPr="00C3386F">
        <w:rPr>
          <w:rFonts w:ascii="Calibri Light" w:hAnsi="Calibri Light" w:cs="Calibri Light"/>
        </w:rPr>
        <w:t xml:space="preserve"> </w:t>
      </w:r>
      <w:r w:rsidR="001152F9">
        <w:rPr>
          <w:rFonts w:ascii="Calibri Light" w:hAnsi="Calibri Light" w:cs="Calibri Light"/>
        </w:rPr>
        <w:t xml:space="preserve">el de </w:t>
      </w:r>
      <w:r w:rsidR="00F82708">
        <w:rPr>
          <w:rFonts w:ascii="Calibri Light" w:hAnsi="Calibri Light" w:cs="Calibri Light"/>
        </w:rPr>
        <w:t>las jubilaciones</w:t>
      </w:r>
      <w:r w:rsidR="001152F9" w:rsidRPr="00C3386F">
        <w:rPr>
          <w:rFonts w:ascii="Calibri Light" w:hAnsi="Calibri Light" w:cs="Calibri Light"/>
        </w:rPr>
        <w:t xml:space="preserve"> del sistema nacional.</w:t>
      </w:r>
      <w:r w:rsidR="001152F9">
        <w:rPr>
          <w:rFonts w:ascii="Calibri Light" w:hAnsi="Calibri Light" w:cs="Calibri Light"/>
        </w:rPr>
        <w:t xml:space="preserve"> </w:t>
      </w:r>
      <w:r w:rsidR="00F82708">
        <w:rPr>
          <w:rFonts w:ascii="Calibri Light" w:hAnsi="Calibri Light" w:cs="Calibri Light"/>
        </w:rPr>
        <w:t xml:space="preserve">También existen importantes discrepancias respecto y entre los haberes jubilatorios de las Cajas </w:t>
      </w:r>
      <w:r w:rsidR="00494100">
        <w:rPr>
          <w:rFonts w:ascii="Calibri Light" w:hAnsi="Calibri Light" w:cs="Calibri Light"/>
        </w:rPr>
        <w:t>P</w:t>
      </w:r>
      <w:r w:rsidR="00F82708">
        <w:rPr>
          <w:rFonts w:ascii="Calibri Light" w:hAnsi="Calibri Light" w:cs="Calibri Light"/>
        </w:rPr>
        <w:t xml:space="preserve">rofesionales existentes en la Provincia. </w:t>
      </w:r>
      <w:r w:rsidR="001152F9" w:rsidRPr="00C3386F">
        <w:rPr>
          <w:rFonts w:ascii="Calibri Light" w:hAnsi="Calibri Light" w:cs="Calibri Light"/>
        </w:rPr>
        <w:t xml:space="preserve">Los haberes </w:t>
      </w:r>
      <w:r w:rsidR="00F82708">
        <w:rPr>
          <w:rFonts w:ascii="Calibri Light" w:hAnsi="Calibri Light" w:cs="Calibri Light"/>
        </w:rPr>
        <w:t xml:space="preserve">jubilatorios </w:t>
      </w:r>
      <w:r w:rsidR="001152F9">
        <w:rPr>
          <w:rFonts w:ascii="Calibri Light" w:hAnsi="Calibri Light" w:cs="Calibri Light"/>
        </w:rPr>
        <w:t xml:space="preserve">abonados </w:t>
      </w:r>
      <w:r w:rsidR="001152F9">
        <w:rPr>
          <w:rFonts w:ascii="Calibri Light" w:hAnsi="Calibri Light" w:cs="Calibri Light"/>
        </w:rPr>
        <w:lastRenderedPageBreak/>
        <w:t xml:space="preserve">por </w:t>
      </w:r>
      <w:r w:rsidR="00494100">
        <w:rPr>
          <w:rFonts w:ascii="Calibri Light" w:hAnsi="Calibri Light" w:cs="Calibri Light"/>
        </w:rPr>
        <w:t>este sistema</w:t>
      </w:r>
      <w:r w:rsidR="001152F9">
        <w:rPr>
          <w:rFonts w:ascii="Calibri Light" w:hAnsi="Calibri Light" w:cs="Calibri Light"/>
        </w:rPr>
        <w:t xml:space="preserve"> alcanzan un promedio de $</w:t>
      </w:r>
      <w:r w:rsidR="00F82708">
        <w:rPr>
          <w:rFonts w:ascii="Calibri Light" w:hAnsi="Calibri Light" w:cs="Calibri Light"/>
        </w:rPr>
        <w:t>1</w:t>
      </w:r>
      <w:r w:rsidR="00877C57">
        <w:rPr>
          <w:rFonts w:ascii="Calibri Light" w:hAnsi="Calibri Light" w:cs="Calibri Light"/>
        </w:rPr>
        <w:t>16.924</w:t>
      </w:r>
      <w:r w:rsidR="001152F9">
        <w:rPr>
          <w:rFonts w:ascii="Calibri Light" w:hAnsi="Calibri Light" w:cs="Calibri Light"/>
        </w:rPr>
        <w:t xml:space="preserve">, </w:t>
      </w:r>
      <w:r w:rsidR="00D66545">
        <w:rPr>
          <w:rFonts w:ascii="Calibri Light" w:hAnsi="Calibri Light" w:cs="Calibri Light"/>
        </w:rPr>
        <w:t>con niveles</w:t>
      </w:r>
      <w:r w:rsidR="00444AE3">
        <w:rPr>
          <w:rFonts w:ascii="Calibri Light" w:hAnsi="Calibri Light" w:cs="Calibri Light"/>
        </w:rPr>
        <w:t xml:space="preserve"> extremos </w:t>
      </w:r>
      <w:r w:rsidR="00D66545">
        <w:rPr>
          <w:rFonts w:ascii="Calibri Light" w:hAnsi="Calibri Light" w:cs="Calibri Light"/>
        </w:rPr>
        <w:t>de algo más de</w:t>
      </w:r>
      <w:r w:rsidR="00F82708">
        <w:rPr>
          <w:rFonts w:ascii="Calibri Light" w:hAnsi="Calibri Light" w:cs="Calibri Light"/>
        </w:rPr>
        <w:t xml:space="preserve"> $</w:t>
      </w:r>
      <w:r w:rsidR="00877C57">
        <w:rPr>
          <w:rFonts w:ascii="Calibri Light" w:hAnsi="Calibri Light" w:cs="Calibri Light"/>
        </w:rPr>
        <w:t>103</w:t>
      </w:r>
      <w:r w:rsidR="00F82708">
        <w:rPr>
          <w:rFonts w:ascii="Calibri Light" w:hAnsi="Calibri Light" w:cs="Calibri Light"/>
        </w:rPr>
        <w:t xml:space="preserve"> mil</w:t>
      </w:r>
      <w:r w:rsidR="00444AE3">
        <w:rPr>
          <w:rFonts w:ascii="Calibri Light" w:hAnsi="Calibri Light" w:cs="Calibri Light"/>
        </w:rPr>
        <w:t xml:space="preserve">, </w:t>
      </w:r>
      <w:r w:rsidR="00D66545">
        <w:rPr>
          <w:rFonts w:ascii="Calibri Light" w:hAnsi="Calibri Light" w:cs="Calibri Light"/>
        </w:rPr>
        <w:t xml:space="preserve">pagados por </w:t>
      </w:r>
      <w:r w:rsidR="001152F9">
        <w:rPr>
          <w:rFonts w:ascii="Calibri Light" w:hAnsi="Calibri Light" w:cs="Calibri Light"/>
        </w:rPr>
        <w:t>la Caja de</w:t>
      </w:r>
      <w:r w:rsidR="001152F9" w:rsidRPr="00C3386F">
        <w:rPr>
          <w:rFonts w:ascii="Calibri Light" w:hAnsi="Calibri Light" w:cs="Calibri Light"/>
        </w:rPr>
        <w:t xml:space="preserve"> </w:t>
      </w:r>
      <w:r w:rsidR="001152F9">
        <w:rPr>
          <w:rFonts w:ascii="Calibri Light" w:hAnsi="Calibri Light" w:cs="Calibri Light"/>
        </w:rPr>
        <w:t xml:space="preserve">los Profesionales de </w:t>
      </w:r>
      <w:r w:rsidR="00877C57">
        <w:rPr>
          <w:rFonts w:ascii="Calibri Light" w:hAnsi="Calibri Light" w:cs="Calibri Light"/>
        </w:rPr>
        <w:t>la Salud</w:t>
      </w:r>
      <w:r w:rsidR="00F82708">
        <w:rPr>
          <w:rFonts w:ascii="Calibri Light" w:hAnsi="Calibri Light"/>
        </w:rPr>
        <w:t>,</w:t>
      </w:r>
      <w:r w:rsidR="001152F9" w:rsidRPr="00C3386F">
        <w:rPr>
          <w:rFonts w:ascii="Calibri Light" w:hAnsi="Calibri Light" w:cs="Calibri Light"/>
        </w:rPr>
        <w:t xml:space="preserve"> </w:t>
      </w:r>
      <w:r w:rsidR="00D66545">
        <w:rPr>
          <w:rFonts w:ascii="Calibri Light" w:hAnsi="Calibri Light" w:cs="Calibri Light"/>
        </w:rPr>
        <w:t>a más de $4</w:t>
      </w:r>
      <w:r w:rsidR="00877C57">
        <w:rPr>
          <w:rFonts w:ascii="Calibri Light" w:hAnsi="Calibri Light" w:cs="Calibri Light"/>
        </w:rPr>
        <w:t>64</w:t>
      </w:r>
      <w:r w:rsidR="00D66545">
        <w:rPr>
          <w:rFonts w:ascii="Calibri Light" w:hAnsi="Calibri Light" w:cs="Calibri Light"/>
        </w:rPr>
        <w:t xml:space="preserve"> mil</w:t>
      </w:r>
      <w:r w:rsidR="00444AE3">
        <w:rPr>
          <w:rFonts w:ascii="Calibri Light" w:hAnsi="Calibri Light" w:cs="Calibri Light"/>
        </w:rPr>
        <w:t xml:space="preserve">, </w:t>
      </w:r>
      <w:r w:rsidR="00D66545">
        <w:rPr>
          <w:rFonts w:ascii="Calibri Light" w:hAnsi="Calibri Light" w:cs="Calibri Light"/>
        </w:rPr>
        <w:t>abonad</w:t>
      </w:r>
      <w:r w:rsidR="00494100">
        <w:rPr>
          <w:rFonts w:ascii="Calibri Light" w:hAnsi="Calibri Light" w:cs="Calibri Light"/>
        </w:rPr>
        <w:t>os</w:t>
      </w:r>
      <w:r w:rsidR="00D66545">
        <w:rPr>
          <w:rFonts w:ascii="Calibri Light" w:hAnsi="Calibri Light" w:cs="Calibri Light"/>
        </w:rPr>
        <w:t xml:space="preserve"> por la Caja </w:t>
      </w:r>
      <w:r w:rsidR="00444AE3">
        <w:rPr>
          <w:rFonts w:ascii="Calibri Light" w:hAnsi="Calibri Light" w:cs="Calibri Light"/>
        </w:rPr>
        <w:t>de Notarios</w:t>
      </w:r>
      <w:r w:rsidR="00D66545">
        <w:rPr>
          <w:rFonts w:ascii="Calibri Light" w:hAnsi="Calibri Light" w:cs="Calibri Light"/>
        </w:rPr>
        <w:t xml:space="preserve"> </w:t>
      </w:r>
      <w:r w:rsidR="001152F9" w:rsidRPr="00C3386F">
        <w:rPr>
          <w:rFonts w:ascii="Calibri Light" w:hAnsi="Calibri Light" w:cs="Calibri Light"/>
        </w:rPr>
        <w:t>(</w:t>
      </w:r>
      <w:r w:rsidR="001152F9" w:rsidRPr="008451B6">
        <w:rPr>
          <w:rFonts w:ascii="Calibri Light" w:hAnsi="Calibri Light" w:cs="Calibri Light"/>
          <w:i/>
          <w:iCs/>
        </w:rPr>
        <w:t xml:space="preserve">Gráfico </w:t>
      </w:r>
      <w:r w:rsidR="00494100">
        <w:rPr>
          <w:rFonts w:ascii="Calibri Light" w:hAnsi="Calibri Light" w:cs="Calibri Light"/>
          <w:i/>
          <w:iCs/>
        </w:rPr>
        <w:t>3</w:t>
      </w:r>
      <w:r w:rsidR="001152F9" w:rsidRPr="00C3386F">
        <w:rPr>
          <w:rFonts w:ascii="Calibri Light" w:hAnsi="Calibri Light" w:cs="Calibri Light"/>
        </w:rPr>
        <w:t>).</w:t>
      </w:r>
    </w:p>
    <w:p w14:paraId="1F9F21F4" w14:textId="66035BBF" w:rsidR="008451B6" w:rsidRDefault="008451B6" w:rsidP="001152F9">
      <w:pPr>
        <w:spacing w:before="240"/>
        <w:jc w:val="both"/>
        <w:rPr>
          <w:rFonts w:ascii="Calibri Light" w:hAnsi="Calibri Light" w:cs="Calibri Light"/>
        </w:rPr>
      </w:pPr>
      <w:r>
        <w:rPr>
          <w:rFonts w:ascii="Calibri Light" w:hAnsi="Calibri Light" w:cs="Calibri Light"/>
        </w:rPr>
        <w:t>Si se referencia a la trayectoria de los haberes jubilatorios</w:t>
      </w:r>
      <w:r w:rsidR="0000100A">
        <w:rPr>
          <w:rFonts w:ascii="Calibri Light" w:hAnsi="Calibri Light" w:cs="Calibri Light"/>
        </w:rPr>
        <w:t>, en los 3 sistemas los haberes jubilatorios perdieron contra la inflación en estos últimos 8 años. Las más perjudicadas fueron las jubilaciones abonadas</w:t>
      </w:r>
      <w:r w:rsidR="00D269BB">
        <w:rPr>
          <w:rFonts w:ascii="Calibri Light" w:hAnsi="Calibri Light" w:cs="Calibri Light"/>
        </w:rPr>
        <w:t>, en promedio,</w:t>
      </w:r>
      <w:r w:rsidR="0000100A">
        <w:rPr>
          <w:rFonts w:ascii="Calibri Light" w:hAnsi="Calibri Light" w:cs="Calibri Light"/>
        </w:rPr>
        <w:t xml:space="preserve"> por </w:t>
      </w:r>
      <w:r w:rsidR="00D269BB">
        <w:rPr>
          <w:rFonts w:ascii="Calibri Light" w:hAnsi="Calibri Light" w:cs="Calibri Light"/>
        </w:rPr>
        <w:t>las Cajas Profesionales y la ANSES</w:t>
      </w:r>
      <w:r w:rsidR="0000100A">
        <w:rPr>
          <w:rFonts w:ascii="Calibri Light" w:hAnsi="Calibri Light" w:cs="Calibri Light"/>
        </w:rPr>
        <w:t>, las que perdieron</w:t>
      </w:r>
      <w:r w:rsidR="00D269BB">
        <w:rPr>
          <w:rFonts w:ascii="Calibri Light" w:hAnsi="Calibri Light" w:cs="Calibri Light"/>
        </w:rPr>
        <w:t>, en ambos sistemas,</w:t>
      </w:r>
      <w:r w:rsidR="0000100A">
        <w:rPr>
          <w:rFonts w:ascii="Calibri Light" w:hAnsi="Calibri Light" w:cs="Calibri Light"/>
        </w:rPr>
        <w:t xml:space="preserve"> </w:t>
      </w:r>
      <w:r w:rsidR="00D269BB">
        <w:rPr>
          <w:rFonts w:ascii="Calibri Light" w:hAnsi="Calibri Light" w:cs="Calibri Light"/>
        </w:rPr>
        <w:t xml:space="preserve">algo más de </w:t>
      </w:r>
      <w:r w:rsidR="0000100A">
        <w:rPr>
          <w:rFonts w:ascii="Calibri Light" w:hAnsi="Calibri Light" w:cs="Calibri Light"/>
        </w:rPr>
        <w:t xml:space="preserve">un </w:t>
      </w:r>
      <w:r w:rsidR="00D269BB">
        <w:rPr>
          <w:rFonts w:ascii="Calibri Light" w:hAnsi="Calibri Light" w:cs="Calibri Light"/>
        </w:rPr>
        <w:t>2</w:t>
      </w:r>
      <w:r w:rsidR="0000100A">
        <w:rPr>
          <w:rFonts w:ascii="Calibri Light" w:hAnsi="Calibri Light" w:cs="Calibri Light"/>
        </w:rPr>
        <w:t>2% de poder adquisitivo en dicho período.</w:t>
      </w:r>
      <w:r w:rsidR="00BB5D43">
        <w:rPr>
          <w:rFonts w:ascii="Calibri Light" w:hAnsi="Calibri Light" w:cs="Calibri Light"/>
        </w:rPr>
        <w:t xml:space="preserve"> </w:t>
      </w:r>
      <w:r w:rsidR="00D269BB">
        <w:rPr>
          <w:rFonts w:ascii="Calibri Light" w:hAnsi="Calibri Light" w:cs="Calibri Light"/>
        </w:rPr>
        <w:t xml:space="preserve">Dentro de las Cajas de Profesionales, los haberes jubilatorios más perjudicados fueron </w:t>
      </w:r>
      <w:r w:rsidR="00D269BB">
        <w:rPr>
          <w:rFonts w:ascii="Calibri Light" w:hAnsi="Calibri Light" w:cs="Calibri Light"/>
        </w:rPr>
        <w:t>l</w:t>
      </w:r>
      <w:r w:rsidR="00D269BB">
        <w:rPr>
          <w:rFonts w:ascii="Calibri Light" w:hAnsi="Calibri Light" w:cs="Calibri Light"/>
        </w:rPr>
        <w:t>o</w:t>
      </w:r>
      <w:r w:rsidR="00D269BB">
        <w:rPr>
          <w:rFonts w:ascii="Calibri Light" w:hAnsi="Calibri Light" w:cs="Calibri Light"/>
        </w:rPr>
        <w:t>s de abogados y profesionales de ciencias económicas (-</w:t>
      </w:r>
      <w:r w:rsidR="00D269BB">
        <w:rPr>
          <w:rFonts w:ascii="Calibri Light" w:hAnsi="Calibri Light" w:cs="Calibri Light"/>
        </w:rPr>
        <w:t>32</w:t>
      </w:r>
      <w:r w:rsidR="00D269BB">
        <w:rPr>
          <w:rFonts w:ascii="Calibri Light" w:hAnsi="Calibri Light" w:cs="Calibri Light"/>
        </w:rPr>
        <w:t>% y -2</w:t>
      </w:r>
      <w:r w:rsidR="00D269BB">
        <w:rPr>
          <w:rFonts w:ascii="Calibri Light" w:hAnsi="Calibri Light" w:cs="Calibri Light"/>
        </w:rPr>
        <w:t>7</w:t>
      </w:r>
      <w:r w:rsidR="00D269BB">
        <w:rPr>
          <w:rFonts w:ascii="Calibri Light" w:hAnsi="Calibri Light" w:cs="Calibri Light"/>
        </w:rPr>
        <w:t>%, respectivamente, en 8 años) y l</w:t>
      </w:r>
      <w:r w:rsidR="00D269BB">
        <w:rPr>
          <w:rFonts w:ascii="Calibri Light" w:hAnsi="Calibri Light" w:cs="Calibri Light"/>
        </w:rPr>
        <w:t>o</w:t>
      </w:r>
      <w:r w:rsidR="00D269BB">
        <w:rPr>
          <w:rFonts w:ascii="Calibri Light" w:hAnsi="Calibri Light" w:cs="Calibri Light"/>
        </w:rPr>
        <w:t>s menos perjudicad</w:t>
      </w:r>
      <w:r w:rsidR="00D269BB">
        <w:rPr>
          <w:rFonts w:ascii="Calibri Light" w:hAnsi="Calibri Light" w:cs="Calibri Light"/>
        </w:rPr>
        <w:t>o</w:t>
      </w:r>
      <w:r w:rsidR="00D269BB">
        <w:rPr>
          <w:rFonts w:ascii="Calibri Light" w:hAnsi="Calibri Light" w:cs="Calibri Light"/>
        </w:rPr>
        <w:t>s, l</w:t>
      </w:r>
      <w:r w:rsidR="00D269BB">
        <w:rPr>
          <w:rFonts w:ascii="Calibri Light" w:hAnsi="Calibri Light" w:cs="Calibri Light"/>
        </w:rPr>
        <w:t>o</w:t>
      </w:r>
      <w:r w:rsidR="00D269BB">
        <w:rPr>
          <w:rFonts w:ascii="Calibri Light" w:hAnsi="Calibri Light" w:cs="Calibri Light"/>
        </w:rPr>
        <w:t>s de notarios (-</w:t>
      </w:r>
      <w:r w:rsidR="00D269BB">
        <w:rPr>
          <w:rFonts w:ascii="Calibri Light" w:hAnsi="Calibri Light" w:cs="Calibri Light"/>
        </w:rPr>
        <w:t>11</w:t>
      </w:r>
      <w:r w:rsidR="00D269BB">
        <w:rPr>
          <w:rFonts w:ascii="Calibri Light" w:hAnsi="Calibri Light" w:cs="Calibri Light"/>
        </w:rPr>
        <w:t>%)</w:t>
      </w:r>
      <w:r w:rsidR="00D269BB">
        <w:rPr>
          <w:rFonts w:ascii="Calibri Light" w:hAnsi="Calibri Light" w:cs="Calibri Light"/>
        </w:rPr>
        <w:t xml:space="preserve">. </w:t>
      </w:r>
      <w:r w:rsidR="00BB5D43">
        <w:rPr>
          <w:rFonts w:ascii="Calibri Light" w:hAnsi="Calibri Light" w:cs="Calibri Light"/>
        </w:rPr>
        <w:t xml:space="preserve">En cuanto a la </w:t>
      </w:r>
      <w:r w:rsidR="00494100">
        <w:rPr>
          <w:rFonts w:ascii="Calibri Light" w:hAnsi="Calibri Light" w:cs="Calibri Light"/>
        </w:rPr>
        <w:t>C</w:t>
      </w:r>
      <w:r w:rsidR="00BB5D43">
        <w:rPr>
          <w:rFonts w:ascii="Calibri Light" w:hAnsi="Calibri Light" w:cs="Calibri Light"/>
        </w:rPr>
        <w:t>aja</w:t>
      </w:r>
      <w:r w:rsidR="00D269BB">
        <w:rPr>
          <w:rFonts w:ascii="Calibri Light" w:hAnsi="Calibri Light" w:cs="Calibri Light"/>
        </w:rPr>
        <w:t xml:space="preserve"> de Empleados Públicos Provinciales</w:t>
      </w:r>
      <w:r w:rsidR="00BB5D43">
        <w:rPr>
          <w:rFonts w:ascii="Calibri Light" w:hAnsi="Calibri Light" w:cs="Calibri Light"/>
        </w:rPr>
        <w:t>, los haberes jubilatorios se redujeron en promedio un 1</w:t>
      </w:r>
      <w:r w:rsidR="00D269BB">
        <w:rPr>
          <w:rFonts w:ascii="Calibri Light" w:hAnsi="Calibri Light" w:cs="Calibri Light"/>
        </w:rPr>
        <w:t>0</w:t>
      </w:r>
      <w:r w:rsidR="00BB5D43">
        <w:rPr>
          <w:rFonts w:ascii="Calibri Light" w:hAnsi="Calibri Light" w:cs="Calibri Light"/>
        </w:rPr>
        <w:t>% en términos reales</w:t>
      </w:r>
      <w:r w:rsidR="00D269BB">
        <w:rPr>
          <w:rFonts w:ascii="Calibri Light" w:hAnsi="Calibri Light" w:cs="Calibri Light"/>
        </w:rPr>
        <w:t xml:space="preserve"> </w:t>
      </w:r>
      <w:r w:rsidR="00BB5D43">
        <w:rPr>
          <w:rFonts w:ascii="Calibri Light" w:hAnsi="Calibri Light" w:cs="Calibri Light"/>
        </w:rPr>
        <w:t>(</w:t>
      </w:r>
      <w:r w:rsidR="00BB5D43" w:rsidRPr="00BB5D43">
        <w:rPr>
          <w:rFonts w:ascii="Calibri Light" w:hAnsi="Calibri Light" w:cs="Calibri Light"/>
          <w:i/>
          <w:iCs/>
        </w:rPr>
        <w:t>Grá</w:t>
      </w:r>
      <w:r w:rsidR="00A7042B">
        <w:rPr>
          <w:rFonts w:ascii="Calibri Light" w:hAnsi="Calibri Light" w:cs="Calibri Light"/>
          <w:i/>
          <w:iCs/>
        </w:rPr>
        <w:t xml:space="preserve">fico </w:t>
      </w:r>
      <w:r w:rsidR="00494100">
        <w:rPr>
          <w:rFonts w:ascii="Calibri Light" w:hAnsi="Calibri Light" w:cs="Calibri Light"/>
          <w:i/>
          <w:iCs/>
        </w:rPr>
        <w:t>4</w:t>
      </w:r>
      <w:r w:rsidR="00BB5D43">
        <w:rPr>
          <w:rFonts w:ascii="Calibri Light" w:hAnsi="Calibri Light" w:cs="Calibri Light"/>
        </w:rPr>
        <w:t>).</w:t>
      </w:r>
    </w:p>
    <w:p w14:paraId="62607180" w14:textId="24A77E7E" w:rsidR="008D28B0" w:rsidRDefault="008D28B0" w:rsidP="009F7348">
      <w:pPr>
        <w:spacing w:after="60" w:line="240" w:lineRule="auto"/>
        <w:jc w:val="center"/>
        <w:rPr>
          <w:b/>
          <w:shd w:val="clear" w:color="auto" w:fill="FFFFFF"/>
        </w:rPr>
      </w:pPr>
      <w:proofErr w:type="spellStart"/>
      <w:r w:rsidRPr="009F7348">
        <w:rPr>
          <w:b/>
          <w:shd w:val="clear" w:color="auto" w:fill="FFFFFF"/>
        </w:rPr>
        <w:t>Grafico</w:t>
      </w:r>
      <w:proofErr w:type="spellEnd"/>
      <w:r w:rsidRPr="009F7348">
        <w:rPr>
          <w:b/>
          <w:shd w:val="clear" w:color="auto" w:fill="FFFFFF"/>
        </w:rPr>
        <w:t xml:space="preserve"> 1. </w:t>
      </w:r>
      <w:r w:rsidR="009F7348">
        <w:rPr>
          <w:b/>
          <w:shd w:val="clear" w:color="auto" w:fill="FFFFFF"/>
        </w:rPr>
        <w:t>S</w:t>
      </w:r>
      <w:r w:rsidRPr="009F7348">
        <w:rPr>
          <w:b/>
          <w:shd w:val="clear" w:color="auto" w:fill="FFFFFF"/>
        </w:rPr>
        <w:t>tock de beneficios</w:t>
      </w:r>
      <w:r w:rsidR="009F7348">
        <w:rPr>
          <w:b/>
          <w:shd w:val="clear" w:color="auto" w:fill="FFFFFF"/>
        </w:rPr>
        <w:t xml:space="preserve"> previsionales,</w:t>
      </w:r>
      <w:r w:rsidRPr="009F7348">
        <w:rPr>
          <w:b/>
          <w:shd w:val="clear" w:color="auto" w:fill="FFFFFF"/>
        </w:rPr>
        <w:t xml:space="preserve"> según sistema</w:t>
      </w:r>
    </w:p>
    <w:p w14:paraId="73155180" w14:textId="7E72910D" w:rsidR="009F7348" w:rsidRPr="00B2022E" w:rsidRDefault="00020621" w:rsidP="009F7348">
      <w:pPr>
        <w:spacing w:after="60" w:line="240" w:lineRule="auto"/>
        <w:jc w:val="center"/>
        <w:rPr>
          <w:bCs/>
          <w:i/>
          <w:iCs/>
          <w:shd w:val="clear" w:color="auto" w:fill="FFFFFF"/>
        </w:rPr>
      </w:pPr>
      <w:r>
        <w:rPr>
          <w:bCs/>
          <w:i/>
          <w:iCs/>
          <w:shd w:val="clear" w:color="auto" w:fill="FFFFFF"/>
        </w:rPr>
        <w:t>Junio</w:t>
      </w:r>
      <w:r w:rsidR="009F7348" w:rsidRPr="00B2022E">
        <w:rPr>
          <w:bCs/>
          <w:i/>
          <w:iCs/>
          <w:shd w:val="clear" w:color="auto" w:fill="FFFFFF"/>
        </w:rPr>
        <w:t xml:space="preserve"> 2023</w:t>
      </w:r>
    </w:p>
    <w:p w14:paraId="18EA6444" w14:textId="160DDC45" w:rsidR="009F7348" w:rsidRPr="009F7348" w:rsidRDefault="00020621" w:rsidP="009F7348">
      <w:pPr>
        <w:spacing w:before="240"/>
        <w:jc w:val="center"/>
        <w:rPr>
          <w:b/>
          <w:shd w:val="clear" w:color="auto" w:fill="FFFFFF"/>
        </w:rPr>
      </w:pPr>
      <w:r>
        <w:rPr>
          <w:noProof/>
        </w:rPr>
        <w:drawing>
          <wp:inline distT="0" distB="0" distL="0" distR="0" wp14:anchorId="2CC805E7" wp14:editId="7258610A">
            <wp:extent cx="4160520" cy="2438400"/>
            <wp:effectExtent l="0" t="0" r="0" b="0"/>
            <wp:docPr id="336807350" name="Gráfico 1">
              <a:extLst xmlns:a="http://schemas.openxmlformats.org/drawingml/2006/main">
                <a:ext uri="{FF2B5EF4-FFF2-40B4-BE49-F238E27FC236}">
                  <a16:creationId xmlns:a16="http://schemas.microsoft.com/office/drawing/2014/main" id="{89F27F9B-41DB-4E1F-86C2-AD6FB9BC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EF6B45" w14:textId="212F1FC5" w:rsidR="00494100" w:rsidRDefault="00494100" w:rsidP="00494100">
      <w:pPr>
        <w:spacing w:after="60" w:line="240" w:lineRule="auto"/>
        <w:jc w:val="both"/>
        <w:rPr>
          <w:i/>
          <w:sz w:val="18"/>
          <w:shd w:val="clear" w:color="auto" w:fill="FFFFFF"/>
        </w:rPr>
      </w:pPr>
      <w:r w:rsidRPr="00AA6A77">
        <w:rPr>
          <w:i/>
          <w:sz w:val="18"/>
          <w:shd w:val="clear" w:color="auto" w:fill="FFFFFF"/>
        </w:rPr>
        <w:t>Fuente: Ministerio de Finanzas</w:t>
      </w:r>
      <w:r>
        <w:rPr>
          <w:i/>
          <w:sz w:val="18"/>
          <w:shd w:val="clear" w:color="auto" w:fill="FFFFFF"/>
        </w:rPr>
        <w:t xml:space="preserve"> en base a datos de la Caja de Jubilaciones de la Provincia, Cajas de Profesionales</w:t>
      </w:r>
      <w:r w:rsidR="008E2C11">
        <w:rPr>
          <w:i/>
          <w:sz w:val="18"/>
          <w:shd w:val="clear" w:color="auto" w:fill="FFFFFF"/>
        </w:rPr>
        <w:t xml:space="preserve"> y</w:t>
      </w:r>
      <w:r>
        <w:rPr>
          <w:i/>
          <w:sz w:val="18"/>
          <w:shd w:val="clear" w:color="auto" w:fill="FFFFFF"/>
        </w:rPr>
        <w:t xml:space="preserve"> Boletín Estadístico de Seguridad Social (BESS) del Ministerio de Trabajo, Empleo y Seguridad Social de la Nación</w:t>
      </w:r>
      <w:r w:rsidRPr="00AA6A77">
        <w:rPr>
          <w:i/>
          <w:sz w:val="18"/>
          <w:shd w:val="clear" w:color="auto" w:fill="FFFFFF"/>
        </w:rPr>
        <w:t>.</w:t>
      </w:r>
    </w:p>
    <w:p w14:paraId="78AA9A53" w14:textId="77777777" w:rsidR="00494100" w:rsidRDefault="00494100" w:rsidP="00AA00E6">
      <w:pPr>
        <w:spacing w:after="60" w:line="240" w:lineRule="auto"/>
        <w:jc w:val="center"/>
        <w:rPr>
          <w:b/>
          <w:shd w:val="clear" w:color="auto" w:fill="FFFFFF"/>
        </w:rPr>
      </w:pPr>
    </w:p>
    <w:p w14:paraId="3A11DC0A" w14:textId="77777777" w:rsidR="00494100" w:rsidRDefault="00494100" w:rsidP="00AA00E6">
      <w:pPr>
        <w:spacing w:after="60" w:line="240" w:lineRule="auto"/>
        <w:jc w:val="center"/>
        <w:rPr>
          <w:b/>
          <w:shd w:val="clear" w:color="auto" w:fill="FFFFFF"/>
        </w:rPr>
      </w:pPr>
    </w:p>
    <w:p w14:paraId="782BB099" w14:textId="77777777" w:rsidR="00494100" w:rsidRDefault="00494100" w:rsidP="00AA00E6">
      <w:pPr>
        <w:spacing w:after="60" w:line="240" w:lineRule="auto"/>
        <w:jc w:val="center"/>
        <w:rPr>
          <w:b/>
          <w:shd w:val="clear" w:color="auto" w:fill="FFFFFF"/>
        </w:rPr>
      </w:pPr>
    </w:p>
    <w:p w14:paraId="34D49A19" w14:textId="77777777" w:rsidR="00494100" w:rsidRDefault="00494100" w:rsidP="00AA00E6">
      <w:pPr>
        <w:spacing w:after="60" w:line="240" w:lineRule="auto"/>
        <w:jc w:val="center"/>
        <w:rPr>
          <w:b/>
          <w:shd w:val="clear" w:color="auto" w:fill="FFFFFF"/>
        </w:rPr>
      </w:pPr>
    </w:p>
    <w:p w14:paraId="3D8BAFBA" w14:textId="77777777" w:rsidR="00494100" w:rsidRDefault="00494100" w:rsidP="00AA00E6">
      <w:pPr>
        <w:spacing w:after="60" w:line="240" w:lineRule="auto"/>
        <w:jc w:val="center"/>
        <w:rPr>
          <w:b/>
          <w:shd w:val="clear" w:color="auto" w:fill="FFFFFF"/>
        </w:rPr>
      </w:pPr>
    </w:p>
    <w:p w14:paraId="05E464D9" w14:textId="77777777" w:rsidR="00494100" w:rsidRDefault="00494100" w:rsidP="00AA00E6">
      <w:pPr>
        <w:spacing w:after="60" w:line="240" w:lineRule="auto"/>
        <w:jc w:val="center"/>
        <w:rPr>
          <w:b/>
          <w:shd w:val="clear" w:color="auto" w:fill="FFFFFF"/>
        </w:rPr>
      </w:pPr>
    </w:p>
    <w:p w14:paraId="0D834747" w14:textId="77777777" w:rsidR="00494100" w:rsidRDefault="00494100" w:rsidP="00AA00E6">
      <w:pPr>
        <w:spacing w:after="60" w:line="240" w:lineRule="auto"/>
        <w:jc w:val="center"/>
        <w:rPr>
          <w:b/>
          <w:shd w:val="clear" w:color="auto" w:fill="FFFFFF"/>
        </w:rPr>
      </w:pPr>
    </w:p>
    <w:p w14:paraId="68EE2EC3" w14:textId="77777777" w:rsidR="00494100" w:rsidRDefault="00494100" w:rsidP="00AA00E6">
      <w:pPr>
        <w:spacing w:after="60" w:line="240" w:lineRule="auto"/>
        <w:jc w:val="center"/>
        <w:rPr>
          <w:b/>
          <w:shd w:val="clear" w:color="auto" w:fill="FFFFFF"/>
        </w:rPr>
      </w:pPr>
    </w:p>
    <w:p w14:paraId="4AB3BA7A" w14:textId="77777777" w:rsidR="00494100" w:rsidRDefault="00494100" w:rsidP="00AA00E6">
      <w:pPr>
        <w:spacing w:after="60" w:line="240" w:lineRule="auto"/>
        <w:jc w:val="center"/>
        <w:rPr>
          <w:b/>
          <w:shd w:val="clear" w:color="auto" w:fill="FFFFFF"/>
        </w:rPr>
      </w:pPr>
    </w:p>
    <w:p w14:paraId="321F7798" w14:textId="77777777" w:rsidR="00494100" w:rsidRDefault="00494100" w:rsidP="00AA00E6">
      <w:pPr>
        <w:spacing w:after="60" w:line="240" w:lineRule="auto"/>
        <w:jc w:val="center"/>
        <w:rPr>
          <w:b/>
          <w:shd w:val="clear" w:color="auto" w:fill="FFFFFF"/>
        </w:rPr>
      </w:pPr>
    </w:p>
    <w:p w14:paraId="254F67FC" w14:textId="77777777" w:rsidR="00494100" w:rsidRDefault="00494100" w:rsidP="00AA00E6">
      <w:pPr>
        <w:spacing w:after="60" w:line="240" w:lineRule="auto"/>
        <w:jc w:val="center"/>
        <w:rPr>
          <w:b/>
          <w:shd w:val="clear" w:color="auto" w:fill="FFFFFF"/>
        </w:rPr>
      </w:pPr>
    </w:p>
    <w:p w14:paraId="71689F35" w14:textId="7FC51705" w:rsidR="00AA00E6" w:rsidRDefault="00AA00E6" w:rsidP="00AA00E6">
      <w:pPr>
        <w:spacing w:after="60" w:line="240" w:lineRule="auto"/>
        <w:jc w:val="center"/>
        <w:rPr>
          <w:b/>
          <w:shd w:val="clear" w:color="auto" w:fill="FFFFFF"/>
        </w:rPr>
      </w:pPr>
      <w:r w:rsidRPr="00CA0E35">
        <w:rPr>
          <w:b/>
          <w:shd w:val="clear" w:color="auto" w:fill="FFFFFF"/>
        </w:rPr>
        <w:lastRenderedPageBreak/>
        <w:t xml:space="preserve">Gráfico </w:t>
      </w:r>
      <w:r>
        <w:rPr>
          <w:b/>
          <w:shd w:val="clear" w:color="auto" w:fill="FFFFFF"/>
        </w:rPr>
        <w:t>2</w:t>
      </w:r>
      <w:r w:rsidRPr="00CA0E35">
        <w:rPr>
          <w:b/>
          <w:shd w:val="clear" w:color="auto" w:fill="FFFFFF"/>
        </w:rPr>
        <w:t xml:space="preserve">. </w:t>
      </w:r>
      <w:r w:rsidR="00494100">
        <w:rPr>
          <w:b/>
          <w:shd w:val="clear" w:color="auto" w:fill="FFFFFF"/>
        </w:rPr>
        <w:t>Stock</w:t>
      </w:r>
      <w:r>
        <w:rPr>
          <w:b/>
          <w:shd w:val="clear" w:color="auto" w:fill="FFFFFF"/>
        </w:rPr>
        <w:t xml:space="preserve"> de </w:t>
      </w:r>
      <w:r w:rsidR="009F7348">
        <w:rPr>
          <w:b/>
          <w:shd w:val="clear" w:color="auto" w:fill="FFFFFF"/>
        </w:rPr>
        <w:t>b</w:t>
      </w:r>
      <w:r>
        <w:rPr>
          <w:b/>
          <w:shd w:val="clear" w:color="auto" w:fill="FFFFFF"/>
        </w:rPr>
        <w:t xml:space="preserve">eneficios previsionales, según </w:t>
      </w:r>
      <w:r w:rsidR="00494100">
        <w:rPr>
          <w:b/>
          <w:shd w:val="clear" w:color="auto" w:fill="FFFFFF"/>
        </w:rPr>
        <w:t xml:space="preserve">trimestre y </w:t>
      </w:r>
      <w:r>
        <w:rPr>
          <w:b/>
          <w:shd w:val="clear" w:color="auto" w:fill="FFFFFF"/>
        </w:rPr>
        <w:t xml:space="preserve">sistema </w:t>
      </w:r>
    </w:p>
    <w:p w14:paraId="55B0AF23" w14:textId="5B00D99E" w:rsidR="00AA00E6" w:rsidRDefault="00AA00E6" w:rsidP="00AA00E6">
      <w:pPr>
        <w:spacing w:after="60" w:line="240" w:lineRule="auto"/>
        <w:jc w:val="center"/>
        <w:rPr>
          <w:bCs/>
          <w:i/>
          <w:iCs/>
          <w:shd w:val="clear" w:color="auto" w:fill="FFFFFF"/>
        </w:rPr>
      </w:pPr>
      <w:r>
        <w:rPr>
          <w:bCs/>
          <w:i/>
          <w:iCs/>
          <w:shd w:val="clear" w:color="auto" w:fill="FFFFFF"/>
        </w:rPr>
        <w:t xml:space="preserve">Primer </w:t>
      </w:r>
      <w:r w:rsidR="008E2C11">
        <w:rPr>
          <w:bCs/>
          <w:i/>
          <w:iCs/>
          <w:shd w:val="clear" w:color="auto" w:fill="FFFFFF"/>
        </w:rPr>
        <w:t>semestre</w:t>
      </w:r>
      <w:r>
        <w:rPr>
          <w:bCs/>
          <w:i/>
          <w:iCs/>
          <w:shd w:val="clear" w:color="auto" w:fill="FFFFFF"/>
        </w:rPr>
        <w:t xml:space="preserve"> de los años 2015 y </w:t>
      </w:r>
      <w:r w:rsidRPr="00B2022E">
        <w:rPr>
          <w:bCs/>
          <w:i/>
          <w:iCs/>
          <w:shd w:val="clear" w:color="auto" w:fill="FFFFFF"/>
        </w:rPr>
        <w:t>2023</w:t>
      </w:r>
    </w:p>
    <w:p w14:paraId="763BA75B" w14:textId="33A76687" w:rsidR="00AA00E6" w:rsidRDefault="008E2C11" w:rsidP="00AA00E6">
      <w:pPr>
        <w:spacing w:after="60" w:line="240" w:lineRule="auto"/>
        <w:jc w:val="center"/>
        <w:rPr>
          <w:b/>
          <w:shd w:val="clear" w:color="auto" w:fill="FFFFFF"/>
        </w:rPr>
      </w:pPr>
      <w:r>
        <w:rPr>
          <w:noProof/>
        </w:rPr>
        <w:drawing>
          <wp:inline distT="0" distB="0" distL="0" distR="0" wp14:anchorId="381518EB" wp14:editId="527E760D">
            <wp:extent cx="4572000" cy="2743200"/>
            <wp:effectExtent l="0" t="0" r="0" b="0"/>
            <wp:docPr id="1629611971" name="Gráfico 1">
              <a:extLst xmlns:a="http://schemas.openxmlformats.org/drawingml/2006/main">
                <a:ext uri="{FF2B5EF4-FFF2-40B4-BE49-F238E27FC236}">
                  <a16:creationId xmlns:a16="http://schemas.microsoft.com/office/drawing/2014/main" id="{047F0B04-9E0E-4DDE-B19C-B8BB4CA8E9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903F7F" w14:textId="77777777" w:rsidR="00AA00E6" w:rsidRDefault="00AA00E6" w:rsidP="00AA00E6">
      <w:pPr>
        <w:spacing w:after="60" w:line="240" w:lineRule="auto"/>
        <w:jc w:val="both"/>
        <w:rPr>
          <w:i/>
          <w:sz w:val="18"/>
          <w:shd w:val="clear" w:color="auto" w:fill="FFFFFF"/>
        </w:rPr>
      </w:pPr>
      <w:r w:rsidRPr="00AA6A77">
        <w:rPr>
          <w:i/>
          <w:sz w:val="18"/>
          <w:shd w:val="clear" w:color="auto" w:fill="FFFFFF"/>
        </w:rPr>
        <w:t>Fuente: Ministerio de Finanzas</w:t>
      </w:r>
      <w:r>
        <w:rPr>
          <w:i/>
          <w:sz w:val="18"/>
          <w:shd w:val="clear" w:color="auto" w:fill="FFFFFF"/>
        </w:rPr>
        <w:t xml:space="preserve"> en base a datos de la Caja de Jubilaciones de la Provincia, Cajas de Profesionales, Boletín Estadístico de Seguridad Social (BESS) del Ministerio de Trabajo, Empleo y Seguridad Social de la Nación</w:t>
      </w:r>
      <w:r w:rsidRPr="00AA6A77">
        <w:rPr>
          <w:i/>
          <w:sz w:val="18"/>
          <w:shd w:val="clear" w:color="auto" w:fill="FFFFFF"/>
        </w:rPr>
        <w:t>.</w:t>
      </w:r>
    </w:p>
    <w:p w14:paraId="5DE0EBA3" w14:textId="77777777" w:rsidR="00AA00E6" w:rsidRDefault="00AA00E6" w:rsidP="00AA00E6">
      <w:pPr>
        <w:spacing w:after="60" w:line="240" w:lineRule="auto"/>
        <w:jc w:val="both"/>
        <w:rPr>
          <w:i/>
          <w:sz w:val="18"/>
          <w:shd w:val="clear" w:color="auto" w:fill="FFFFFF"/>
        </w:rPr>
      </w:pPr>
    </w:p>
    <w:p w14:paraId="46BAB84B" w14:textId="77777777" w:rsidR="00494100" w:rsidRDefault="00494100" w:rsidP="005E6EA2">
      <w:pPr>
        <w:spacing w:after="120" w:line="240" w:lineRule="auto"/>
        <w:jc w:val="center"/>
        <w:rPr>
          <w:b/>
          <w:shd w:val="clear" w:color="auto" w:fill="FFFFFF"/>
        </w:rPr>
      </w:pPr>
    </w:p>
    <w:p w14:paraId="11897697" w14:textId="6BB981F0" w:rsidR="00B2022E" w:rsidRDefault="00AA00E6" w:rsidP="005E6EA2">
      <w:pPr>
        <w:spacing w:after="120" w:line="240" w:lineRule="auto"/>
        <w:jc w:val="center"/>
        <w:rPr>
          <w:b/>
          <w:shd w:val="clear" w:color="auto" w:fill="FFFFFF"/>
        </w:rPr>
      </w:pPr>
      <w:r>
        <w:rPr>
          <w:b/>
          <w:shd w:val="clear" w:color="auto" w:fill="FFFFFF"/>
        </w:rPr>
        <w:t>Gráfico 3</w:t>
      </w:r>
      <w:r w:rsidR="008C7744" w:rsidRPr="00CA0E35">
        <w:rPr>
          <w:b/>
          <w:shd w:val="clear" w:color="auto" w:fill="FFFFFF"/>
        </w:rPr>
        <w:t xml:space="preserve">. </w:t>
      </w:r>
      <w:r w:rsidR="008D28B0">
        <w:rPr>
          <w:b/>
          <w:shd w:val="clear" w:color="auto" w:fill="FFFFFF"/>
        </w:rPr>
        <w:t>Haber jubilatorio m</w:t>
      </w:r>
      <w:r w:rsidR="00B2022E">
        <w:rPr>
          <w:b/>
          <w:shd w:val="clear" w:color="auto" w:fill="FFFFFF"/>
        </w:rPr>
        <w:t>edio, según sistema</w:t>
      </w:r>
    </w:p>
    <w:p w14:paraId="0C4B6C44" w14:textId="1917C2EE" w:rsidR="008C7744" w:rsidRPr="00B2022E" w:rsidRDefault="00D269BB" w:rsidP="005E6EA2">
      <w:pPr>
        <w:spacing w:after="120" w:line="240" w:lineRule="auto"/>
        <w:jc w:val="center"/>
        <w:rPr>
          <w:bCs/>
          <w:i/>
          <w:iCs/>
          <w:shd w:val="clear" w:color="auto" w:fill="FFFFFF"/>
        </w:rPr>
      </w:pPr>
      <w:r>
        <w:rPr>
          <w:bCs/>
          <w:i/>
          <w:iCs/>
          <w:shd w:val="clear" w:color="auto" w:fill="FFFFFF"/>
        </w:rPr>
        <w:t>Junio</w:t>
      </w:r>
      <w:r w:rsidR="00B2022E" w:rsidRPr="00B2022E">
        <w:rPr>
          <w:bCs/>
          <w:i/>
          <w:iCs/>
          <w:shd w:val="clear" w:color="auto" w:fill="FFFFFF"/>
        </w:rPr>
        <w:t xml:space="preserve"> 2023</w:t>
      </w:r>
    </w:p>
    <w:p w14:paraId="19F6ED12" w14:textId="093C10DE" w:rsidR="00B2022E" w:rsidRDefault="00D269BB" w:rsidP="005E6EA2">
      <w:pPr>
        <w:spacing w:after="120" w:line="240" w:lineRule="auto"/>
        <w:jc w:val="center"/>
        <w:rPr>
          <w:b/>
          <w:shd w:val="clear" w:color="auto" w:fill="FFFFFF"/>
        </w:rPr>
      </w:pPr>
      <w:r>
        <w:rPr>
          <w:noProof/>
        </w:rPr>
        <w:drawing>
          <wp:inline distT="0" distB="0" distL="0" distR="0" wp14:anchorId="605FBB76" wp14:editId="65F6A511">
            <wp:extent cx="5151120" cy="2743200"/>
            <wp:effectExtent l="0" t="0" r="0" b="0"/>
            <wp:docPr id="624312282" name="Gráfico 1">
              <a:extLst xmlns:a="http://schemas.openxmlformats.org/drawingml/2006/main">
                <a:ext uri="{FF2B5EF4-FFF2-40B4-BE49-F238E27FC236}">
                  <a16:creationId xmlns:a16="http://schemas.microsoft.com/office/drawing/2014/main" id="{2301ADB8-E4E4-45BE-A7C3-C982DC239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3DDFBB" w14:textId="7E75FF1F" w:rsidR="00AB0CEA" w:rsidRDefault="00F1080F" w:rsidP="00A4703B">
      <w:pPr>
        <w:spacing w:after="60" w:line="240" w:lineRule="auto"/>
        <w:rPr>
          <w:i/>
          <w:sz w:val="18"/>
          <w:shd w:val="clear" w:color="auto" w:fill="FFFFFF"/>
        </w:rPr>
      </w:pPr>
      <w:r w:rsidRPr="00F1080F">
        <w:rPr>
          <w:i/>
          <w:noProof/>
          <w:sz w:val="18"/>
          <w:shd w:val="clear" w:color="auto" w:fill="FFFFFF"/>
          <w:lang w:val="es-ES" w:eastAsia="es-ES"/>
        </w:rPr>
        <mc:AlternateContent>
          <mc:Choice Requires="wps">
            <w:drawing>
              <wp:anchor distT="0" distB="0" distL="114300" distR="114300" simplePos="0" relativeHeight="251663360" behindDoc="0" locked="0" layoutInCell="1" allowOverlap="1" wp14:anchorId="699E197B" wp14:editId="3A15F7DD">
                <wp:simplePos x="0" y="0"/>
                <wp:positionH relativeFrom="margin">
                  <wp:posOffset>-2118360</wp:posOffset>
                </wp:positionH>
                <wp:positionV relativeFrom="paragraph">
                  <wp:posOffset>-9446894</wp:posOffset>
                </wp:positionV>
                <wp:extent cx="809625" cy="461645"/>
                <wp:effectExtent l="0" t="0" r="0" b="0"/>
                <wp:wrapNone/>
                <wp:docPr id="10" name="CuadroTexto 3">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microsoft.com/office/word/2010/wordprocessingShape">
                    <wps:wsp>
                      <wps:cNvSpPr txBox="1"/>
                      <wps:spPr>
                        <a:xfrm rot="716350">
                          <a:off x="0" y="0"/>
                          <a:ext cx="809625" cy="4616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F362385" w14:textId="77777777" w:rsidR="00F1080F" w:rsidRPr="00CB16CA" w:rsidRDefault="00F1080F" w:rsidP="00F1080F">
                            <w:pPr>
                              <w:pStyle w:val="TtuloTDC"/>
                              <w:spacing w:before="0" w:after="0"/>
                              <w:rPr>
                                <w:color w:val="80D219" w:themeColor="accent3" w:themeShade="BF"/>
                                <w:sz w:val="16"/>
                              </w:rPr>
                            </w:pPr>
                            <w:r w:rsidRPr="00CB16CA">
                              <w:rPr>
                                <w:rFonts w:asciiTheme="minorHAnsi" w:hAnsi="Calibri" w:cstheme="minorBidi"/>
                                <w:bCs/>
                                <w:iCs/>
                                <w:color w:val="80D219" w:themeColor="accent3" w:themeShade="BF"/>
                                <w:kern w:val="24"/>
                                <w:sz w:val="32"/>
                                <w:szCs w:val="48"/>
                              </w:rPr>
                              <w:t>+</w:t>
                            </w:r>
                            <w:r>
                              <w:rPr>
                                <w:rFonts w:asciiTheme="minorHAnsi" w:hAnsi="Calibri" w:cstheme="minorBidi"/>
                                <w:b w:val="0"/>
                                <w:bCs/>
                                <w:i w:val="0"/>
                                <w:iCs/>
                                <w:color w:val="80D219" w:themeColor="accent3" w:themeShade="BF"/>
                                <w:kern w:val="24"/>
                                <w:sz w:val="32"/>
                                <w:szCs w:val="48"/>
                              </w:rPr>
                              <w:t>8,4</w:t>
                            </w:r>
                            <w:r w:rsidRPr="00CB16CA">
                              <w:rPr>
                                <w:rFonts w:asciiTheme="minorHAnsi" w:hAnsi="Calibri" w:cstheme="minorBidi"/>
                                <w:bCs/>
                                <w:iCs/>
                                <w:color w:val="80D219" w:themeColor="accent3" w:themeShade="BF"/>
                                <w:kern w:val="24"/>
                                <w:sz w:val="32"/>
                                <w:szCs w:val="48"/>
                              </w:rPr>
                              <w:t>%</w:t>
                            </w:r>
                          </w:p>
                        </w:txbxContent>
                      </wps:txbx>
                      <wps:bodyPr wrap="square" rtlCol="0" anchor="t">
                        <a:spAutoFit/>
                      </wps:bodyPr>
                    </wps:wsp>
                  </a:graphicData>
                </a:graphic>
                <wp14:sizeRelH relativeFrom="margin">
                  <wp14:pctWidth>0</wp14:pctWidth>
                </wp14:sizeRelH>
              </wp:anchor>
            </w:drawing>
          </mc:Choice>
          <mc:Fallback>
            <w:pict>
              <v:shapetype w14:anchorId="699E197B" id="_x0000_t202" coordsize="21600,21600" o:spt="202" path="m,l,21600r21600,l21600,xe">
                <v:stroke joinstyle="miter"/>
                <v:path gradientshapeok="t" o:connecttype="rect"/>
              </v:shapetype>
              <v:shape id="CuadroTexto 3" o:spid="_x0000_s1026" type="#_x0000_t202" style="position:absolute;margin-left:-166.8pt;margin-top:-743.85pt;width:63.75pt;height:36.35pt;rotation:78244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" filled="f" stroked="f">
                <v:textbox style="mso-fit-shape-to-text:t">
                  <w:txbxContent>
                    <w:p w14:paraId="5F362385" w14:textId="77777777" w:rsidR="00F1080F" w:rsidRPr="00CB16CA" w:rsidRDefault="00F1080F" w:rsidP="00F1080F">
                      <w:pPr>
                        <w:pStyle w:val="TtuloTDC"/>
                        <w:spacing w:before="0" w:after="0"/>
                        <w:rPr>
                          <w:color w:val="80D219" w:themeColor="accent3" w:themeShade="BF"/>
                          <w:sz w:val="16"/>
                        </w:rPr>
                      </w:pPr>
                      <w:r w:rsidRPr="00CB16CA">
                        <w:rPr>
                          <w:rFonts w:asciiTheme="minorHAnsi" w:hAnsi="Calibri" w:cstheme="minorBidi"/>
                          <w:bCs/>
                          <w:iCs/>
                          <w:color w:val="80D219" w:themeColor="accent3" w:themeShade="BF"/>
                          <w:kern w:val="24"/>
                          <w:sz w:val="32"/>
                          <w:szCs w:val="48"/>
                        </w:rPr>
                        <w:t>+</w:t>
                      </w:r>
                      <w:r>
                        <w:rPr>
                          <w:rFonts w:asciiTheme="minorHAnsi" w:hAnsi="Calibri" w:cstheme="minorBidi"/>
                          <w:b w:val="0"/>
                          <w:bCs/>
                          <w:i w:val="0"/>
                          <w:iCs/>
                          <w:color w:val="80D219" w:themeColor="accent3" w:themeShade="BF"/>
                          <w:kern w:val="24"/>
                          <w:sz w:val="32"/>
                          <w:szCs w:val="48"/>
                        </w:rPr>
                        <w:t>8,4</w:t>
                      </w:r>
                      <w:r w:rsidRPr="00CB16CA">
                        <w:rPr>
                          <w:rFonts w:asciiTheme="minorHAnsi" w:hAnsi="Calibri" w:cstheme="minorBidi"/>
                          <w:bCs/>
                          <w:iCs/>
                          <w:color w:val="80D219" w:themeColor="accent3" w:themeShade="BF"/>
                          <w:kern w:val="24"/>
                          <w:sz w:val="32"/>
                          <w:szCs w:val="48"/>
                        </w:rPr>
                        <w:t>%</w:t>
                      </w:r>
                    </w:p>
                  </w:txbxContent>
                </v:textbox>
                <w10:wrap anchorx="margin"/>
              </v:shape>
            </w:pict>
          </mc:Fallback>
        </mc:AlternateContent>
      </w:r>
      <w:r w:rsidR="008C7744" w:rsidRPr="00AA6A77">
        <w:rPr>
          <w:i/>
          <w:sz w:val="18"/>
          <w:shd w:val="clear" w:color="auto" w:fill="FFFFFF"/>
        </w:rPr>
        <w:t>Fuente: Ministerio de Finanzas</w:t>
      </w:r>
      <w:r w:rsidR="00405A8F">
        <w:rPr>
          <w:i/>
          <w:sz w:val="18"/>
          <w:shd w:val="clear" w:color="auto" w:fill="FFFFFF"/>
        </w:rPr>
        <w:t xml:space="preserve"> en base a datos de la Caja de Jubilaciones de la Provincia</w:t>
      </w:r>
      <w:r w:rsidR="000855DD">
        <w:rPr>
          <w:i/>
          <w:sz w:val="18"/>
          <w:shd w:val="clear" w:color="auto" w:fill="FFFFFF"/>
        </w:rPr>
        <w:t>, Cajas de Profesionales</w:t>
      </w:r>
      <w:r w:rsidR="00E32F10">
        <w:rPr>
          <w:i/>
          <w:sz w:val="18"/>
          <w:shd w:val="clear" w:color="auto" w:fill="FFFFFF"/>
        </w:rPr>
        <w:t xml:space="preserve"> y </w:t>
      </w:r>
      <w:r w:rsidR="000855DD">
        <w:rPr>
          <w:i/>
          <w:sz w:val="18"/>
          <w:shd w:val="clear" w:color="auto" w:fill="FFFFFF"/>
        </w:rPr>
        <w:t>Boletín Estadístico de Seguridad Social</w:t>
      </w:r>
      <w:r w:rsidR="00834833">
        <w:rPr>
          <w:i/>
          <w:sz w:val="18"/>
          <w:shd w:val="clear" w:color="auto" w:fill="FFFFFF"/>
        </w:rPr>
        <w:t xml:space="preserve"> (</w:t>
      </w:r>
      <w:r w:rsidR="000855DD">
        <w:rPr>
          <w:i/>
          <w:sz w:val="18"/>
          <w:shd w:val="clear" w:color="auto" w:fill="FFFFFF"/>
        </w:rPr>
        <w:t>BESS</w:t>
      </w:r>
      <w:r w:rsidR="00834833">
        <w:rPr>
          <w:i/>
          <w:sz w:val="18"/>
          <w:shd w:val="clear" w:color="auto" w:fill="FFFFFF"/>
        </w:rPr>
        <w:t>)</w:t>
      </w:r>
      <w:r w:rsidR="000855DD">
        <w:rPr>
          <w:i/>
          <w:sz w:val="18"/>
          <w:shd w:val="clear" w:color="auto" w:fill="FFFFFF"/>
        </w:rPr>
        <w:t xml:space="preserve"> del Ministerio de Trabajo, Empleo y Seguridad Social de la Nación</w:t>
      </w:r>
      <w:r w:rsidR="008C7744" w:rsidRPr="00AA6A77">
        <w:rPr>
          <w:i/>
          <w:sz w:val="18"/>
          <w:shd w:val="clear" w:color="auto" w:fill="FFFFFF"/>
        </w:rPr>
        <w:t>.</w:t>
      </w:r>
    </w:p>
    <w:p w14:paraId="1CE3BC16" w14:textId="569FA545" w:rsidR="00A4703B" w:rsidRDefault="00A4703B" w:rsidP="00A4703B">
      <w:pPr>
        <w:spacing w:after="60" w:line="240" w:lineRule="auto"/>
        <w:rPr>
          <w:i/>
          <w:sz w:val="18"/>
          <w:shd w:val="clear" w:color="auto" w:fill="FFFFFF"/>
        </w:rPr>
      </w:pPr>
    </w:p>
    <w:p w14:paraId="45942EF1" w14:textId="77777777" w:rsidR="008D28B0" w:rsidRDefault="008D28B0" w:rsidP="00A4703B">
      <w:pPr>
        <w:spacing w:after="60" w:line="240" w:lineRule="auto"/>
        <w:rPr>
          <w:i/>
          <w:sz w:val="18"/>
          <w:shd w:val="clear" w:color="auto" w:fill="FFFFFF"/>
        </w:rPr>
      </w:pPr>
    </w:p>
    <w:p w14:paraId="3F781A72" w14:textId="77777777" w:rsidR="00494100" w:rsidRDefault="00494100" w:rsidP="00A4703B">
      <w:pPr>
        <w:spacing w:after="60" w:line="240" w:lineRule="auto"/>
        <w:rPr>
          <w:i/>
          <w:sz w:val="18"/>
          <w:shd w:val="clear" w:color="auto" w:fill="FFFFFF"/>
        </w:rPr>
      </w:pPr>
    </w:p>
    <w:p w14:paraId="4A53EA4A" w14:textId="77777777" w:rsidR="00494100" w:rsidRDefault="00494100" w:rsidP="00A4703B">
      <w:pPr>
        <w:spacing w:after="60" w:line="240" w:lineRule="auto"/>
        <w:rPr>
          <w:i/>
          <w:sz w:val="18"/>
          <w:shd w:val="clear" w:color="auto" w:fill="FFFFFF"/>
        </w:rPr>
      </w:pPr>
    </w:p>
    <w:p w14:paraId="3A8F2B9C" w14:textId="2ECA0664" w:rsidR="00A304C7" w:rsidRDefault="00A304C7" w:rsidP="00A304C7">
      <w:pPr>
        <w:spacing w:after="60" w:line="240" w:lineRule="auto"/>
        <w:jc w:val="center"/>
        <w:rPr>
          <w:b/>
          <w:shd w:val="clear" w:color="auto" w:fill="FFFFFF"/>
        </w:rPr>
      </w:pPr>
      <w:r w:rsidRPr="00CA0E35">
        <w:rPr>
          <w:b/>
          <w:shd w:val="clear" w:color="auto" w:fill="FFFFFF"/>
        </w:rPr>
        <w:lastRenderedPageBreak/>
        <w:t xml:space="preserve">Gráfico </w:t>
      </w:r>
      <w:r w:rsidR="00494100">
        <w:rPr>
          <w:b/>
          <w:shd w:val="clear" w:color="auto" w:fill="FFFFFF"/>
        </w:rPr>
        <w:t>4</w:t>
      </w:r>
      <w:r w:rsidRPr="00CA0E35">
        <w:rPr>
          <w:b/>
          <w:shd w:val="clear" w:color="auto" w:fill="FFFFFF"/>
        </w:rPr>
        <w:t xml:space="preserve">. </w:t>
      </w:r>
      <w:r w:rsidR="007A5509">
        <w:rPr>
          <w:b/>
          <w:shd w:val="clear" w:color="auto" w:fill="FFFFFF"/>
        </w:rPr>
        <w:t>H</w:t>
      </w:r>
      <w:r w:rsidR="00401986">
        <w:rPr>
          <w:b/>
          <w:shd w:val="clear" w:color="auto" w:fill="FFFFFF"/>
        </w:rPr>
        <w:t>aberes jubilatorios</w:t>
      </w:r>
      <w:r w:rsidR="00E32E3D">
        <w:rPr>
          <w:b/>
          <w:shd w:val="clear" w:color="auto" w:fill="FFFFFF"/>
        </w:rPr>
        <w:t xml:space="preserve"> </w:t>
      </w:r>
      <w:r w:rsidR="007A5509">
        <w:rPr>
          <w:b/>
          <w:shd w:val="clear" w:color="auto" w:fill="FFFFFF"/>
        </w:rPr>
        <w:t xml:space="preserve">medios </w:t>
      </w:r>
      <w:r w:rsidR="00E32E3D">
        <w:rPr>
          <w:b/>
          <w:shd w:val="clear" w:color="auto" w:fill="FFFFFF"/>
        </w:rPr>
        <w:t>en términos reales</w:t>
      </w:r>
      <w:r w:rsidR="00BB02D9" w:rsidRPr="00BB02D9">
        <w:rPr>
          <w:b/>
          <w:shd w:val="clear" w:color="auto" w:fill="FFFFFF"/>
          <w:vertAlign w:val="superscript"/>
        </w:rPr>
        <w:t>/1</w:t>
      </w:r>
      <w:r w:rsidR="00E32E3D">
        <w:rPr>
          <w:b/>
          <w:shd w:val="clear" w:color="auto" w:fill="FFFFFF"/>
        </w:rPr>
        <w:t>, según sistema</w:t>
      </w:r>
    </w:p>
    <w:p w14:paraId="6B1064F5" w14:textId="32B5671F" w:rsidR="00E32E3D" w:rsidRPr="00B2022E" w:rsidRDefault="007A5509" w:rsidP="00E32E3D">
      <w:pPr>
        <w:spacing w:after="120" w:line="240" w:lineRule="auto"/>
        <w:jc w:val="center"/>
        <w:rPr>
          <w:bCs/>
          <w:i/>
          <w:iCs/>
          <w:shd w:val="clear" w:color="auto" w:fill="FFFFFF"/>
        </w:rPr>
      </w:pPr>
      <w:r>
        <w:rPr>
          <w:bCs/>
          <w:i/>
          <w:iCs/>
          <w:shd w:val="clear" w:color="auto" w:fill="FFFFFF"/>
        </w:rPr>
        <w:t>En miles de $</w:t>
      </w:r>
      <w:r w:rsidR="00D269BB">
        <w:rPr>
          <w:bCs/>
          <w:i/>
          <w:iCs/>
          <w:shd w:val="clear" w:color="auto" w:fill="FFFFFF"/>
        </w:rPr>
        <w:t xml:space="preserve"> de junio 2023</w:t>
      </w:r>
      <w:r w:rsidR="00E32E3D" w:rsidRPr="00B2022E">
        <w:rPr>
          <w:bCs/>
          <w:i/>
          <w:iCs/>
          <w:shd w:val="clear" w:color="auto" w:fill="FFFFFF"/>
        </w:rPr>
        <w:t xml:space="preserve"> </w:t>
      </w:r>
      <w:r w:rsidR="00E32E3D">
        <w:rPr>
          <w:bCs/>
          <w:i/>
          <w:iCs/>
          <w:shd w:val="clear" w:color="auto" w:fill="FFFFFF"/>
        </w:rPr>
        <w:t>-</w:t>
      </w:r>
      <w:r w:rsidR="00E32E3D" w:rsidRPr="00B2022E">
        <w:rPr>
          <w:bCs/>
          <w:i/>
          <w:iCs/>
          <w:shd w:val="clear" w:color="auto" w:fill="FFFFFF"/>
        </w:rPr>
        <w:t xml:space="preserve"> </w:t>
      </w:r>
      <w:r w:rsidR="00AA00E6">
        <w:rPr>
          <w:bCs/>
          <w:i/>
          <w:iCs/>
          <w:shd w:val="clear" w:color="auto" w:fill="FFFFFF"/>
        </w:rPr>
        <w:t>Serie hist</w:t>
      </w:r>
      <w:r w:rsidR="00C57F70">
        <w:rPr>
          <w:bCs/>
          <w:i/>
          <w:iCs/>
          <w:shd w:val="clear" w:color="auto" w:fill="FFFFFF"/>
        </w:rPr>
        <w:t>ó</w:t>
      </w:r>
      <w:r w:rsidR="00AA00E6">
        <w:rPr>
          <w:bCs/>
          <w:i/>
          <w:iCs/>
          <w:shd w:val="clear" w:color="auto" w:fill="FFFFFF"/>
        </w:rPr>
        <w:t>rica</w:t>
      </w:r>
    </w:p>
    <w:p w14:paraId="1D5543A2" w14:textId="1E2C44D4" w:rsidR="00E32E3D" w:rsidRDefault="00D269BB" w:rsidP="00A304C7">
      <w:pPr>
        <w:spacing w:after="60" w:line="240" w:lineRule="auto"/>
        <w:jc w:val="center"/>
        <w:rPr>
          <w:b/>
          <w:shd w:val="clear" w:color="auto" w:fill="FFFFFF"/>
          <w:vertAlign w:val="superscript"/>
        </w:rPr>
      </w:pPr>
      <w:r>
        <w:rPr>
          <w:noProof/>
        </w:rPr>
        <w:drawing>
          <wp:inline distT="0" distB="0" distL="0" distR="0" wp14:anchorId="2359284C" wp14:editId="6242E504">
            <wp:extent cx="5280660" cy="2743200"/>
            <wp:effectExtent l="0" t="0" r="0" b="0"/>
            <wp:docPr id="1400036873" name="Gráfico 1">
              <a:extLst xmlns:a="http://schemas.openxmlformats.org/drawingml/2006/main">
                <a:ext uri="{FF2B5EF4-FFF2-40B4-BE49-F238E27FC236}">
                  <a16:creationId xmlns:a16="http://schemas.microsoft.com/office/drawing/2014/main" id="{C50374B7-C892-498E-848C-666E1299A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D98F28" w14:textId="53F47BF7" w:rsidR="00BB02D9" w:rsidRDefault="00BB02D9" w:rsidP="002029A2">
      <w:pPr>
        <w:spacing w:after="60" w:line="240" w:lineRule="auto"/>
        <w:jc w:val="both"/>
        <w:rPr>
          <w:i/>
          <w:sz w:val="18"/>
          <w:shd w:val="clear" w:color="auto" w:fill="FFFFFF"/>
        </w:rPr>
      </w:pPr>
      <w:r>
        <w:rPr>
          <w:i/>
          <w:sz w:val="18"/>
          <w:shd w:val="clear" w:color="auto" w:fill="FFFFFF"/>
        </w:rPr>
        <w:t>Nota</w:t>
      </w:r>
      <w:r w:rsidRPr="00AA6A77">
        <w:rPr>
          <w:i/>
          <w:sz w:val="18"/>
          <w:shd w:val="clear" w:color="auto" w:fill="FFFFFF"/>
        </w:rPr>
        <w:t xml:space="preserve">: </w:t>
      </w:r>
      <w:r>
        <w:rPr>
          <w:i/>
          <w:sz w:val="18"/>
          <w:shd w:val="clear" w:color="auto" w:fill="FFFFFF"/>
        </w:rPr>
        <w:t>/1 Deflactado en base a IPC Córdoba.</w:t>
      </w:r>
    </w:p>
    <w:p w14:paraId="0874ED75" w14:textId="41F9AFC9" w:rsidR="00A304C7" w:rsidRDefault="00E32E3D" w:rsidP="002029A2">
      <w:pPr>
        <w:spacing w:after="60" w:line="240" w:lineRule="auto"/>
        <w:jc w:val="both"/>
        <w:rPr>
          <w:i/>
          <w:sz w:val="18"/>
          <w:shd w:val="clear" w:color="auto" w:fill="FFFFFF"/>
        </w:rPr>
      </w:pPr>
      <w:r w:rsidRPr="00AA6A77">
        <w:rPr>
          <w:i/>
          <w:sz w:val="18"/>
          <w:shd w:val="clear" w:color="auto" w:fill="FFFFFF"/>
        </w:rPr>
        <w:t>Fuente: Ministerio de Finanzas</w:t>
      </w:r>
      <w:r>
        <w:rPr>
          <w:i/>
          <w:sz w:val="18"/>
          <w:shd w:val="clear" w:color="auto" w:fill="FFFFFF"/>
        </w:rPr>
        <w:t xml:space="preserve"> en base a datos de la Caja de Jubilaciones de la Provincia, Cajas de Profesionales y Boletín Estadístico de Seguridad Social (BESS) del Ministerio de Trabajo, Empleo y Seguridad Social de la Nación</w:t>
      </w:r>
      <w:r w:rsidR="00A304C7" w:rsidRPr="00AA6A77">
        <w:rPr>
          <w:i/>
          <w:sz w:val="18"/>
          <w:shd w:val="clear" w:color="auto" w:fill="FFFFFF"/>
        </w:rPr>
        <w:t>.</w:t>
      </w:r>
    </w:p>
    <w:p w14:paraId="67DC8832" w14:textId="0316615D" w:rsidR="00F367FF" w:rsidRDefault="00F367FF" w:rsidP="002029A2">
      <w:pPr>
        <w:spacing w:after="60" w:line="240" w:lineRule="auto"/>
        <w:jc w:val="both"/>
        <w:rPr>
          <w:i/>
          <w:sz w:val="18"/>
          <w:shd w:val="clear" w:color="auto" w:fill="FFFFFF"/>
        </w:rPr>
      </w:pPr>
    </w:p>
    <w:p w14:paraId="10E9DBCA" w14:textId="77777777" w:rsidR="004E24C9" w:rsidRPr="00D32F69" w:rsidRDefault="004E24C9" w:rsidP="00A4703B">
      <w:pPr>
        <w:spacing w:after="60" w:line="240" w:lineRule="auto"/>
        <w:jc w:val="center"/>
        <w:rPr>
          <w:rFonts w:asciiTheme="minorHAnsi" w:hAnsiTheme="minorHAnsi"/>
          <w:sz w:val="14"/>
        </w:rPr>
      </w:pPr>
    </w:p>
    <w:sectPr w:rsidR="004E24C9" w:rsidRPr="00D32F69" w:rsidSect="00C8128D">
      <w:headerReference w:type="default" r:id="rId13"/>
      <w:footerReference w:type="default" r:id="rId14"/>
      <w:pgSz w:w="11907" w:h="16839" w:code="9"/>
      <w:pgMar w:top="0" w:right="1608"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6B0F" w14:textId="77777777" w:rsidR="008A6EB8" w:rsidRDefault="008A6EB8" w:rsidP="00AA6269">
      <w:pPr>
        <w:spacing w:after="0" w:line="240" w:lineRule="auto"/>
      </w:pPr>
      <w:r>
        <w:separator/>
      </w:r>
    </w:p>
  </w:endnote>
  <w:endnote w:type="continuationSeparator" w:id="0">
    <w:p w14:paraId="6EB0A353" w14:textId="77777777" w:rsidR="008A6EB8" w:rsidRDefault="008A6EB8" w:rsidP="00AA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1"/>
      <w:gridCol w:w="7697"/>
    </w:tblGrid>
    <w:tr w:rsidR="00C2495F" w14:paraId="6966DAF8" w14:textId="77777777">
      <w:tc>
        <w:tcPr>
          <w:tcW w:w="918" w:type="dxa"/>
        </w:tcPr>
        <w:p w14:paraId="26E963C2" w14:textId="45A202B7" w:rsidR="00C2495F" w:rsidRDefault="00501B9C">
          <w:pPr>
            <w:pStyle w:val="Piedepgina"/>
            <w:jc w:val="right"/>
            <w:rPr>
              <w:b/>
              <w:color w:val="4E67C8" w:themeColor="accent1"/>
              <w:sz w:val="32"/>
              <w:szCs w:val="32"/>
            </w:rPr>
          </w:pPr>
          <w:r>
            <w:fldChar w:fldCharType="begin"/>
          </w:r>
          <w:r w:rsidR="00C2495F">
            <w:instrText xml:space="preserve"> PAGE   \* MERGEFORMAT </w:instrText>
          </w:r>
          <w:r>
            <w:fldChar w:fldCharType="separate"/>
          </w:r>
          <w:r w:rsidR="00F300D5" w:rsidRPr="00F300D5">
            <w:rPr>
              <w:b/>
              <w:noProof/>
              <w:color w:val="4E67C8" w:themeColor="accent1"/>
              <w:sz w:val="32"/>
              <w:szCs w:val="32"/>
            </w:rPr>
            <w:t>1</w:t>
          </w:r>
          <w:r>
            <w:rPr>
              <w:b/>
              <w:noProof/>
              <w:color w:val="4E67C8" w:themeColor="accent1"/>
              <w:sz w:val="32"/>
              <w:szCs w:val="32"/>
            </w:rPr>
            <w:fldChar w:fldCharType="end"/>
          </w:r>
        </w:p>
      </w:tc>
      <w:tc>
        <w:tcPr>
          <w:tcW w:w="7938" w:type="dxa"/>
        </w:tcPr>
        <w:p w14:paraId="62A4DAB2" w14:textId="77777777" w:rsidR="00C2495F" w:rsidRDefault="00C2495F">
          <w:pPr>
            <w:pStyle w:val="Piedepgina"/>
          </w:pPr>
        </w:p>
      </w:tc>
    </w:tr>
  </w:tbl>
  <w:p w14:paraId="29EB430C" w14:textId="77777777" w:rsidR="00C2495F" w:rsidRDefault="00C24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B348" w14:textId="77777777" w:rsidR="008A6EB8" w:rsidRDefault="008A6EB8" w:rsidP="00AA6269">
      <w:pPr>
        <w:spacing w:after="0" w:line="240" w:lineRule="auto"/>
      </w:pPr>
      <w:r>
        <w:separator/>
      </w:r>
    </w:p>
  </w:footnote>
  <w:footnote w:type="continuationSeparator" w:id="0">
    <w:p w14:paraId="03E8E130" w14:textId="77777777" w:rsidR="008A6EB8" w:rsidRDefault="008A6EB8" w:rsidP="00AA6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047" w14:textId="24A4A127" w:rsidR="00C2495F" w:rsidRDefault="00C2495F" w:rsidP="00D40B2A">
    <w:pPr>
      <w:pStyle w:val="Encabezado"/>
      <w:tabs>
        <w:tab w:val="clear" w:pos="4419"/>
        <w:tab w:val="clear" w:pos="8838"/>
      </w:tabs>
    </w:pPr>
  </w:p>
  <w:p w14:paraId="3799A7EF" w14:textId="77777777" w:rsidR="00C2495F" w:rsidRDefault="00C2495F" w:rsidP="00D40B2A">
    <w:pPr>
      <w:pStyle w:val="Encabezado"/>
      <w:tabs>
        <w:tab w:val="clear" w:pos="4419"/>
        <w:tab w:val="clear" w:pos="8838"/>
        <w:tab w:val="left" w:pos="2230"/>
      </w:tabs>
    </w:pPr>
  </w:p>
  <w:p w14:paraId="67833AF8" w14:textId="50D34287" w:rsidR="00C2495F" w:rsidRDefault="00C2495F" w:rsidP="00D40B2A">
    <w:pPr>
      <w:pStyle w:val="Encabezado"/>
      <w:tabs>
        <w:tab w:val="clear" w:pos="4419"/>
        <w:tab w:val="clear" w:pos="8838"/>
        <w:tab w:val="left" w:pos="2230"/>
      </w:tabs>
    </w:pPr>
  </w:p>
  <w:p w14:paraId="47E51B58" w14:textId="4374831D" w:rsidR="00307739" w:rsidRDefault="00307739" w:rsidP="00307739">
    <w:pPr>
      <w:pStyle w:val="Encabezado"/>
      <w:tabs>
        <w:tab w:val="clear" w:pos="4419"/>
        <w:tab w:val="clear" w:pos="8838"/>
      </w:tabs>
      <w:ind w:right="-801"/>
      <w:jc w:val="right"/>
    </w:pPr>
    <w:r w:rsidRPr="00C07A6C">
      <w:rPr>
        <w:noProof/>
        <w:lang w:val="es-ES" w:eastAsia="es-ES"/>
      </w:rPr>
      <w:drawing>
        <wp:inline distT="0" distB="0" distL="0" distR="0" wp14:anchorId="0DF08D10" wp14:editId="606064DE">
          <wp:extent cx="1379696" cy="527326"/>
          <wp:effectExtent l="0" t="0" r="0" b="6350"/>
          <wp:docPr id="5" name="Imagen 5" descr="\\d250nfs02\EstudiosEconomicos\Logos\Gobierno de Córdoba\Finanzas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50nfs02\EstudiosEconomicos\Logos\Gobierno de Córdoba\Finanzas 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478" cy="556672"/>
                  </a:xfrm>
                  <a:prstGeom prst="rect">
                    <a:avLst/>
                  </a:prstGeom>
                  <a:noFill/>
                  <a:ln>
                    <a:noFill/>
                  </a:ln>
                </pic:spPr>
              </pic:pic>
            </a:graphicData>
          </a:graphic>
        </wp:inline>
      </w:drawing>
    </w:r>
    <w:r>
      <w:t xml:space="preserve">                                                                 </w:t>
    </w:r>
    <w:r w:rsidRPr="00C07A6C">
      <w:t xml:space="preserve"> </w:t>
    </w:r>
    <w:r w:rsidRPr="00C07A6C">
      <w:rPr>
        <w:noProof/>
        <w:lang w:val="es-ES" w:eastAsia="es-ES"/>
      </w:rPr>
      <w:drawing>
        <wp:inline distT="0" distB="0" distL="0" distR="0" wp14:anchorId="6D0A927B" wp14:editId="49A25FDC">
          <wp:extent cx="2498155" cy="616488"/>
          <wp:effectExtent l="0" t="0" r="0" b="0"/>
          <wp:docPr id="7" name="Imagen 7" descr="\\d250nfs02\EstudiosEconomicos\Logos\Gobierno de Córdoba\Gob-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50nfs02\EstudiosEconomicos\Logos\Gobierno de Córdoba\Gob-C-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1856" cy="647015"/>
                  </a:xfrm>
                  <a:prstGeom prst="rect">
                    <a:avLst/>
                  </a:prstGeom>
                  <a:noFill/>
                  <a:ln>
                    <a:noFill/>
                  </a:ln>
                </pic:spPr>
              </pic:pic>
            </a:graphicData>
          </a:graphic>
        </wp:inline>
      </w:drawing>
    </w:r>
    <w:r w:rsidRPr="00C07A6C">
      <w:t xml:space="preserve"> </w:t>
    </w:r>
  </w:p>
  <w:p w14:paraId="307A2897" w14:textId="3B56D9DB" w:rsidR="00C2495F" w:rsidRDefault="00307739" w:rsidP="00307739">
    <w:pPr>
      <w:pStyle w:val="Encabezado"/>
    </w:pPr>
    <w:r w:rsidRPr="009F2973">
      <w:rPr>
        <w:noProof/>
        <w:lang w:val="es-ES" w:eastAsia="es-ES"/>
      </w:rPr>
      <w:drawing>
        <wp:inline distT="0" distB="0" distL="0" distR="0" wp14:anchorId="75445967" wp14:editId="5A26C67E">
          <wp:extent cx="6156000" cy="55807"/>
          <wp:effectExtent l="0" t="0" r="0" b="1905"/>
          <wp:docPr id="8" name="Imagen 8" descr="\\d250nfs02\EstudiosEconomicos\Logos\Gobierno de Córdoba\Gob-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50nfs02\EstudiosEconomicos\Logos\Gobierno de Córdoba\Gob-B-4.png"/>
                  <pic:cNvPicPr>
                    <a:picLocks noChangeAspect="1" noChangeArrowheads="1"/>
                  </pic:cNvPicPr>
                </pic:nvPicPr>
                <pic:blipFill rotWithShape="1">
                  <a:blip r:embed="rId3">
                    <a:extLst>
                      <a:ext uri="{28A0092B-C50C-407E-A947-70E740481C1C}">
                        <a14:useLocalDpi xmlns:a14="http://schemas.microsoft.com/office/drawing/2010/main" val="0"/>
                      </a:ext>
                    </a:extLst>
                  </a:blip>
                  <a:srcRect l="38268" t="83904" r="9822" b="4078"/>
                  <a:stretch/>
                </pic:blipFill>
                <pic:spPr bwMode="auto">
                  <a:xfrm>
                    <a:off x="0" y="0"/>
                    <a:ext cx="6156000" cy="55807"/>
                  </a:xfrm>
                  <a:prstGeom prst="rect">
                    <a:avLst/>
                  </a:prstGeom>
                  <a:noFill/>
                  <a:ln>
                    <a:noFill/>
                  </a:ln>
                  <a:extLst>
                    <a:ext uri="{53640926-AAD7-44D8-BBD7-CCE9431645EC}">
                      <a14:shadowObscured xmlns:a14="http://schemas.microsoft.com/office/drawing/2010/main"/>
                    </a:ext>
                  </a:extLst>
                </pic:spPr>
              </pic:pic>
            </a:graphicData>
          </a:graphic>
        </wp:inline>
      </w:drawing>
    </w:r>
  </w:p>
  <w:p w14:paraId="5974034B" w14:textId="77777777" w:rsidR="00C2495F" w:rsidRDefault="00C2495F" w:rsidP="00D40B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316"/>
    <w:multiLevelType w:val="hybridMultilevel"/>
    <w:tmpl w:val="EA1CDAEC"/>
    <w:lvl w:ilvl="0" w:tplc="0D2C94E6">
      <w:numFmt w:val="bullet"/>
      <w:lvlText w:val="-"/>
      <w:lvlJc w:val="left"/>
      <w:pPr>
        <w:ind w:left="786" w:hanging="360"/>
      </w:pPr>
      <w:rPr>
        <w:rFonts w:ascii="Cambria" w:eastAsia="Calibri" w:hAnsi="Cambria"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15:restartNumberingAfterBreak="0">
    <w:nsid w:val="1B287835"/>
    <w:multiLevelType w:val="hybridMultilevel"/>
    <w:tmpl w:val="1BA8462E"/>
    <w:lvl w:ilvl="0" w:tplc="7D0E0B5C">
      <w:numFmt w:val="bullet"/>
      <w:lvlText w:val="-"/>
      <w:lvlJc w:val="left"/>
      <w:pPr>
        <w:ind w:left="1776" w:hanging="360"/>
      </w:pPr>
      <w:rPr>
        <w:rFonts w:ascii="Calibri" w:eastAsia="Calibri" w:hAnsi="Calibri" w:cs="Times New Roman" w:hint="default"/>
        <w:sz w:val="22"/>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 w15:restartNumberingAfterBreak="0">
    <w:nsid w:val="2B0D4D9B"/>
    <w:multiLevelType w:val="hybridMultilevel"/>
    <w:tmpl w:val="782A721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1E7445"/>
    <w:multiLevelType w:val="hybridMultilevel"/>
    <w:tmpl w:val="81924AE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326DC4"/>
    <w:multiLevelType w:val="hybridMultilevel"/>
    <w:tmpl w:val="14BCBE76"/>
    <w:lvl w:ilvl="0" w:tplc="573021F4">
      <w:numFmt w:val="bullet"/>
      <w:lvlText w:val="-"/>
      <w:lvlJc w:val="left"/>
      <w:pPr>
        <w:ind w:left="1770" w:hanging="360"/>
      </w:pPr>
      <w:rPr>
        <w:rFonts w:ascii="Calibri" w:eastAsia="Calibri" w:hAnsi="Calibri" w:cs="Times New Roman" w:hint="default"/>
        <w:sz w:val="22"/>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5" w15:restartNumberingAfterBreak="0">
    <w:nsid w:val="38485A82"/>
    <w:multiLevelType w:val="hybridMultilevel"/>
    <w:tmpl w:val="FA4E1BA2"/>
    <w:lvl w:ilvl="0" w:tplc="80689658">
      <w:start w:val="1"/>
      <w:numFmt w:val="bullet"/>
      <w:lvlText w:val="•"/>
      <w:lvlJc w:val="left"/>
      <w:pPr>
        <w:tabs>
          <w:tab w:val="num" w:pos="720"/>
        </w:tabs>
        <w:ind w:left="720" w:hanging="360"/>
      </w:pPr>
      <w:rPr>
        <w:rFonts w:ascii="Times New Roman" w:hAnsi="Times New Roman" w:hint="default"/>
      </w:rPr>
    </w:lvl>
    <w:lvl w:ilvl="1" w:tplc="128026C2" w:tentative="1">
      <w:start w:val="1"/>
      <w:numFmt w:val="bullet"/>
      <w:lvlText w:val="•"/>
      <w:lvlJc w:val="left"/>
      <w:pPr>
        <w:tabs>
          <w:tab w:val="num" w:pos="1440"/>
        </w:tabs>
        <w:ind w:left="1440" w:hanging="360"/>
      </w:pPr>
      <w:rPr>
        <w:rFonts w:ascii="Times New Roman" w:hAnsi="Times New Roman" w:hint="default"/>
      </w:rPr>
    </w:lvl>
    <w:lvl w:ilvl="2" w:tplc="3DA8BE54" w:tentative="1">
      <w:start w:val="1"/>
      <w:numFmt w:val="bullet"/>
      <w:lvlText w:val="•"/>
      <w:lvlJc w:val="left"/>
      <w:pPr>
        <w:tabs>
          <w:tab w:val="num" w:pos="2160"/>
        </w:tabs>
        <w:ind w:left="2160" w:hanging="360"/>
      </w:pPr>
      <w:rPr>
        <w:rFonts w:ascii="Times New Roman" w:hAnsi="Times New Roman" w:hint="default"/>
      </w:rPr>
    </w:lvl>
    <w:lvl w:ilvl="3" w:tplc="49EAF518" w:tentative="1">
      <w:start w:val="1"/>
      <w:numFmt w:val="bullet"/>
      <w:lvlText w:val="•"/>
      <w:lvlJc w:val="left"/>
      <w:pPr>
        <w:tabs>
          <w:tab w:val="num" w:pos="2880"/>
        </w:tabs>
        <w:ind w:left="2880" w:hanging="360"/>
      </w:pPr>
      <w:rPr>
        <w:rFonts w:ascii="Times New Roman" w:hAnsi="Times New Roman" w:hint="default"/>
      </w:rPr>
    </w:lvl>
    <w:lvl w:ilvl="4" w:tplc="1BF4A55E" w:tentative="1">
      <w:start w:val="1"/>
      <w:numFmt w:val="bullet"/>
      <w:lvlText w:val="•"/>
      <w:lvlJc w:val="left"/>
      <w:pPr>
        <w:tabs>
          <w:tab w:val="num" w:pos="3600"/>
        </w:tabs>
        <w:ind w:left="3600" w:hanging="360"/>
      </w:pPr>
      <w:rPr>
        <w:rFonts w:ascii="Times New Roman" w:hAnsi="Times New Roman" w:hint="default"/>
      </w:rPr>
    </w:lvl>
    <w:lvl w:ilvl="5" w:tplc="AB800192" w:tentative="1">
      <w:start w:val="1"/>
      <w:numFmt w:val="bullet"/>
      <w:lvlText w:val="•"/>
      <w:lvlJc w:val="left"/>
      <w:pPr>
        <w:tabs>
          <w:tab w:val="num" w:pos="4320"/>
        </w:tabs>
        <w:ind w:left="4320" w:hanging="360"/>
      </w:pPr>
      <w:rPr>
        <w:rFonts w:ascii="Times New Roman" w:hAnsi="Times New Roman" w:hint="default"/>
      </w:rPr>
    </w:lvl>
    <w:lvl w:ilvl="6" w:tplc="A6A206AE" w:tentative="1">
      <w:start w:val="1"/>
      <w:numFmt w:val="bullet"/>
      <w:lvlText w:val="•"/>
      <w:lvlJc w:val="left"/>
      <w:pPr>
        <w:tabs>
          <w:tab w:val="num" w:pos="5040"/>
        </w:tabs>
        <w:ind w:left="5040" w:hanging="360"/>
      </w:pPr>
      <w:rPr>
        <w:rFonts w:ascii="Times New Roman" w:hAnsi="Times New Roman" w:hint="default"/>
      </w:rPr>
    </w:lvl>
    <w:lvl w:ilvl="7" w:tplc="7A1C22A4" w:tentative="1">
      <w:start w:val="1"/>
      <w:numFmt w:val="bullet"/>
      <w:lvlText w:val="•"/>
      <w:lvlJc w:val="left"/>
      <w:pPr>
        <w:tabs>
          <w:tab w:val="num" w:pos="5760"/>
        </w:tabs>
        <w:ind w:left="5760" w:hanging="360"/>
      </w:pPr>
      <w:rPr>
        <w:rFonts w:ascii="Times New Roman" w:hAnsi="Times New Roman" w:hint="default"/>
      </w:rPr>
    </w:lvl>
    <w:lvl w:ilvl="8" w:tplc="658E63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996DA6"/>
    <w:multiLevelType w:val="hybridMultilevel"/>
    <w:tmpl w:val="E1F61E8E"/>
    <w:lvl w:ilvl="0" w:tplc="76BEF580">
      <w:numFmt w:val="bullet"/>
      <w:lvlText w:val="-"/>
      <w:lvlJc w:val="left"/>
      <w:pPr>
        <w:ind w:left="1074" w:hanging="360"/>
      </w:pPr>
      <w:rPr>
        <w:rFonts w:ascii="Calibri" w:eastAsia="Calibri" w:hAnsi="Calibri" w:cs="Times New Roman" w:hint="default"/>
      </w:rPr>
    </w:lvl>
    <w:lvl w:ilvl="1" w:tplc="2C0A0003" w:tentative="1">
      <w:start w:val="1"/>
      <w:numFmt w:val="bullet"/>
      <w:lvlText w:val="o"/>
      <w:lvlJc w:val="left"/>
      <w:pPr>
        <w:ind w:left="1794" w:hanging="360"/>
      </w:pPr>
      <w:rPr>
        <w:rFonts w:ascii="Courier New" w:hAnsi="Courier New" w:cs="Courier New" w:hint="default"/>
      </w:rPr>
    </w:lvl>
    <w:lvl w:ilvl="2" w:tplc="2C0A0005" w:tentative="1">
      <w:start w:val="1"/>
      <w:numFmt w:val="bullet"/>
      <w:lvlText w:val=""/>
      <w:lvlJc w:val="left"/>
      <w:pPr>
        <w:ind w:left="2514" w:hanging="360"/>
      </w:pPr>
      <w:rPr>
        <w:rFonts w:ascii="Wingdings" w:hAnsi="Wingdings" w:hint="default"/>
      </w:rPr>
    </w:lvl>
    <w:lvl w:ilvl="3" w:tplc="2C0A0001" w:tentative="1">
      <w:start w:val="1"/>
      <w:numFmt w:val="bullet"/>
      <w:lvlText w:val=""/>
      <w:lvlJc w:val="left"/>
      <w:pPr>
        <w:ind w:left="3234" w:hanging="360"/>
      </w:pPr>
      <w:rPr>
        <w:rFonts w:ascii="Symbol" w:hAnsi="Symbol" w:hint="default"/>
      </w:rPr>
    </w:lvl>
    <w:lvl w:ilvl="4" w:tplc="2C0A0003" w:tentative="1">
      <w:start w:val="1"/>
      <w:numFmt w:val="bullet"/>
      <w:lvlText w:val="o"/>
      <w:lvlJc w:val="left"/>
      <w:pPr>
        <w:ind w:left="3954" w:hanging="360"/>
      </w:pPr>
      <w:rPr>
        <w:rFonts w:ascii="Courier New" w:hAnsi="Courier New" w:cs="Courier New" w:hint="default"/>
      </w:rPr>
    </w:lvl>
    <w:lvl w:ilvl="5" w:tplc="2C0A0005" w:tentative="1">
      <w:start w:val="1"/>
      <w:numFmt w:val="bullet"/>
      <w:lvlText w:val=""/>
      <w:lvlJc w:val="left"/>
      <w:pPr>
        <w:ind w:left="4674" w:hanging="360"/>
      </w:pPr>
      <w:rPr>
        <w:rFonts w:ascii="Wingdings" w:hAnsi="Wingdings" w:hint="default"/>
      </w:rPr>
    </w:lvl>
    <w:lvl w:ilvl="6" w:tplc="2C0A0001" w:tentative="1">
      <w:start w:val="1"/>
      <w:numFmt w:val="bullet"/>
      <w:lvlText w:val=""/>
      <w:lvlJc w:val="left"/>
      <w:pPr>
        <w:ind w:left="5394" w:hanging="360"/>
      </w:pPr>
      <w:rPr>
        <w:rFonts w:ascii="Symbol" w:hAnsi="Symbol" w:hint="default"/>
      </w:rPr>
    </w:lvl>
    <w:lvl w:ilvl="7" w:tplc="2C0A0003" w:tentative="1">
      <w:start w:val="1"/>
      <w:numFmt w:val="bullet"/>
      <w:lvlText w:val="o"/>
      <w:lvlJc w:val="left"/>
      <w:pPr>
        <w:ind w:left="6114" w:hanging="360"/>
      </w:pPr>
      <w:rPr>
        <w:rFonts w:ascii="Courier New" w:hAnsi="Courier New" w:cs="Courier New" w:hint="default"/>
      </w:rPr>
    </w:lvl>
    <w:lvl w:ilvl="8" w:tplc="2C0A0005" w:tentative="1">
      <w:start w:val="1"/>
      <w:numFmt w:val="bullet"/>
      <w:lvlText w:val=""/>
      <w:lvlJc w:val="left"/>
      <w:pPr>
        <w:ind w:left="6834" w:hanging="360"/>
      </w:pPr>
      <w:rPr>
        <w:rFonts w:ascii="Wingdings" w:hAnsi="Wingdings" w:hint="default"/>
      </w:rPr>
    </w:lvl>
  </w:abstractNum>
  <w:abstractNum w:abstractNumId="7" w15:restartNumberingAfterBreak="0">
    <w:nsid w:val="48AA63AF"/>
    <w:multiLevelType w:val="hybridMultilevel"/>
    <w:tmpl w:val="E3AE281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90D4CBC"/>
    <w:multiLevelType w:val="hybridMultilevel"/>
    <w:tmpl w:val="A9D26128"/>
    <w:lvl w:ilvl="0" w:tplc="547A2C7A">
      <w:start w:val="1"/>
      <w:numFmt w:val="decimal"/>
      <w:lvlText w:val="%1)"/>
      <w:lvlJc w:val="left"/>
      <w:pPr>
        <w:ind w:left="1352" w:hanging="360"/>
      </w:pPr>
      <w:rPr>
        <w:rFonts w:hint="default"/>
      </w:rPr>
    </w:lvl>
    <w:lvl w:ilvl="1" w:tplc="2C0A0019" w:tentative="1">
      <w:start w:val="1"/>
      <w:numFmt w:val="lowerLetter"/>
      <w:lvlText w:val="%2."/>
      <w:lvlJc w:val="left"/>
      <w:pPr>
        <w:ind w:left="2072" w:hanging="360"/>
      </w:pPr>
    </w:lvl>
    <w:lvl w:ilvl="2" w:tplc="2C0A001B" w:tentative="1">
      <w:start w:val="1"/>
      <w:numFmt w:val="lowerRoman"/>
      <w:lvlText w:val="%3."/>
      <w:lvlJc w:val="right"/>
      <w:pPr>
        <w:ind w:left="2792" w:hanging="180"/>
      </w:pPr>
    </w:lvl>
    <w:lvl w:ilvl="3" w:tplc="2C0A000F" w:tentative="1">
      <w:start w:val="1"/>
      <w:numFmt w:val="decimal"/>
      <w:lvlText w:val="%4."/>
      <w:lvlJc w:val="left"/>
      <w:pPr>
        <w:ind w:left="3512" w:hanging="360"/>
      </w:pPr>
    </w:lvl>
    <w:lvl w:ilvl="4" w:tplc="2C0A0019" w:tentative="1">
      <w:start w:val="1"/>
      <w:numFmt w:val="lowerLetter"/>
      <w:lvlText w:val="%5."/>
      <w:lvlJc w:val="left"/>
      <w:pPr>
        <w:ind w:left="4232" w:hanging="360"/>
      </w:pPr>
    </w:lvl>
    <w:lvl w:ilvl="5" w:tplc="2C0A001B" w:tentative="1">
      <w:start w:val="1"/>
      <w:numFmt w:val="lowerRoman"/>
      <w:lvlText w:val="%6."/>
      <w:lvlJc w:val="right"/>
      <w:pPr>
        <w:ind w:left="4952" w:hanging="180"/>
      </w:pPr>
    </w:lvl>
    <w:lvl w:ilvl="6" w:tplc="2C0A000F" w:tentative="1">
      <w:start w:val="1"/>
      <w:numFmt w:val="decimal"/>
      <w:lvlText w:val="%7."/>
      <w:lvlJc w:val="left"/>
      <w:pPr>
        <w:ind w:left="5672" w:hanging="360"/>
      </w:pPr>
    </w:lvl>
    <w:lvl w:ilvl="7" w:tplc="2C0A0019" w:tentative="1">
      <w:start w:val="1"/>
      <w:numFmt w:val="lowerLetter"/>
      <w:lvlText w:val="%8."/>
      <w:lvlJc w:val="left"/>
      <w:pPr>
        <w:ind w:left="6392" w:hanging="360"/>
      </w:pPr>
    </w:lvl>
    <w:lvl w:ilvl="8" w:tplc="2C0A001B" w:tentative="1">
      <w:start w:val="1"/>
      <w:numFmt w:val="lowerRoman"/>
      <w:lvlText w:val="%9."/>
      <w:lvlJc w:val="right"/>
      <w:pPr>
        <w:ind w:left="7112" w:hanging="180"/>
      </w:pPr>
    </w:lvl>
  </w:abstractNum>
  <w:abstractNum w:abstractNumId="9" w15:restartNumberingAfterBreak="0">
    <w:nsid w:val="4E4B6752"/>
    <w:multiLevelType w:val="hybridMultilevel"/>
    <w:tmpl w:val="024ED274"/>
    <w:lvl w:ilvl="0" w:tplc="EA74E28E">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0D013B5"/>
    <w:multiLevelType w:val="hybridMultilevel"/>
    <w:tmpl w:val="F3989BE0"/>
    <w:lvl w:ilvl="0" w:tplc="D180BA0C">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1363DD1"/>
    <w:multiLevelType w:val="hybridMultilevel"/>
    <w:tmpl w:val="8036FC8C"/>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2" w15:restartNumberingAfterBreak="0">
    <w:nsid w:val="61C20F54"/>
    <w:multiLevelType w:val="hybridMultilevel"/>
    <w:tmpl w:val="791C9AE8"/>
    <w:lvl w:ilvl="0" w:tplc="3212359E">
      <w:numFmt w:val="bullet"/>
      <w:lvlText w:val="-"/>
      <w:lvlJc w:val="left"/>
      <w:pPr>
        <w:ind w:left="1080" w:hanging="360"/>
      </w:pPr>
      <w:rPr>
        <w:rFonts w:ascii="Calibri" w:eastAsia="Calibri" w:hAnsi="Calibri" w:cs="Times New Roman"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3E10132"/>
    <w:multiLevelType w:val="hybridMultilevel"/>
    <w:tmpl w:val="2918C890"/>
    <w:lvl w:ilvl="0" w:tplc="ECD8BF4A">
      <w:numFmt w:val="bullet"/>
      <w:lvlText w:val=""/>
      <w:lvlJc w:val="left"/>
      <w:pPr>
        <w:ind w:left="5316" w:hanging="360"/>
      </w:pPr>
      <w:rPr>
        <w:rFonts w:ascii="Symbol" w:eastAsia="Calibri" w:hAnsi="Symbol" w:cs="Times New Roman" w:hint="default"/>
      </w:rPr>
    </w:lvl>
    <w:lvl w:ilvl="1" w:tplc="2C0A0003">
      <w:start w:val="1"/>
      <w:numFmt w:val="bullet"/>
      <w:lvlText w:val="o"/>
      <w:lvlJc w:val="left"/>
      <w:pPr>
        <w:ind w:left="6036" w:hanging="360"/>
      </w:pPr>
      <w:rPr>
        <w:rFonts w:ascii="Courier New" w:hAnsi="Courier New" w:cs="Courier New" w:hint="default"/>
      </w:rPr>
    </w:lvl>
    <w:lvl w:ilvl="2" w:tplc="2C0A0005" w:tentative="1">
      <w:start w:val="1"/>
      <w:numFmt w:val="bullet"/>
      <w:lvlText w:val=""/>
      <w:lvlJc w:val="left"/>
      <w:pPr>
        <w:ind w:left="6756" w:hanging="360"/>
      </w:pPr>
      <w:rPr>
        <w:rFonts w:ascii="Wingdings" w:hAnsi="Wingdings" w:hint="default"/>
      </w:rPr>
    </w:lvl>
    <w:lvl w:ilvl="3" w:tplc="2C0A0001" w:tentative="1">
      <w:start w:val="1"/>
      <w:numFmt w:val="bullet"/>
      <w:lvlText w:val=""/>
      <w:lvlJc w:val="left"/>
      <w:pPr>
        <w:ind w:left="7476" w:hanging="360"/>
      </w:pPr>
      <w:rPr>
        <w:rFonts w:ascii="Symbol" w:hAnsi="Symbol" w:hint="default"/>
      </w:rPr>
    </w:lvl>
    <w:lvl w:ilvl="4" w:tplc="2C0A0003" w:tentative="1">
      <w:start w:val="1"/>
      <w:numFmt w:val="bullet"/>
      <w:lvlText w:val="o"/>
      <w:lvlJc w:val="left"/>
      <w:pPr>
        <w:ind w:left="8196" w:hanging="360"/>
      </w:pPr>
      <w:rPr>
        <w:rFonts w:ascii="Courier New" w:hAnsi="Courier New" w:cs="Courier New" w:hint="default"/>
      </w:rPr>
    </w:lvl>
    <w:lvl w:ilvl="5" w:tplc="2C0A0005" w:tentative="1">
      <w:start w:val="1"/>
      <w:numFmt w:val="bullet"/>
      <w:lvlText w:val=""/>
      <w:lvlJc w:val="left"/>
      <w:pPr>
        <w:ind w:left="8916" w:hanging="360"/>
      </w:pPr>
      <w:rPr>
        <w:rFonts w:ascii="Wingdings" w:hAnsi="Wingdings" w:hint="default"/>
      </w:rPr>
    </w:lvl>
    <w:lvl w:ilvl="6" w:tplc="2C0A0001" w:tentative="1">
      <w:start w:val="1"/>
      <w:numFmt w:val="bullet"/>
      <w:lvlText w:val=""/>
      <w:lvlJc w:val="left"/>
      <w:pPr>
        <w:ind w:left="9636" w:hanging="360"/>
      </w:pPr>
      <w:rPr>
        <w:rFonts w:ascii="Symbol" w:hAnsi="Symbol" w:hint="default"/>
      </w:rPr>
    </w:lvl>
    <w:lvl w:ilvl="7" w:tplc="2C0A0003" w:tentative="1">
      <w:start w:val="1"/>
      <w:numFmt w:val="bullet"/>
      <w:lvlText w:val="o"/>
      <w:lvlJc w:val="left"/>
      <w:pPr>
        <w:ind w:left="10356" w:hanging="360"/>
      </w:pPr>
      <w:rPr>
        <w:rFonts w:ascii="Courier New" w:hAnsi="Courier New" w:cs="Courier New" w:hint="default"/>
      </w:rPr>
    </w:lvl>
    <w:lvl w:ilvl="8" w:tplc="2C0A0005" w:tentative="1">
      <w:start w:val="1"/>
      <w:numFmt w:val="bullet"/>
      <w:lvlText w:val=""/>
      <w:lvlJc w:val="left"/>
      <w:pPr>
        <w:ind w:left="11076" w:hanging="360"/>
      </w:pPr>
      <w:rPr>
        <w:rFonts w:ascii="Wingdings" w:hAnsi="Wingdings" w:hint="default"/>
      </w:rPr>
    </w:lvl>
  </w:abstractNum>
  <w:abstractNum w:abstractNumId="14" w15:restartNumberingAfterBreak="0">
    <w:nsid w:val="6ED53B39"/>
    <w:multiLevelType w:val="hybridMultilevel"/>
    <w:tmpl w:val="09485778"/>
    <w:lvl w:ilvl="0" w:tplc="FE3AB970">
      <w:start w:val="1"/>
      <w:numFmt w:val="decimal"/>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3323DB"/>
    <w:multiLevelType w:val="hybridMultilevel"/>
    <w:tmpl w:val="65B6763A"/>
    <w:lvl w:ilvl="0" w:tplc="1AFA2F20">
      <w:numFmt w:val="bullet"/>
      <w:lvlText w:val=""/>
      <w:lvlJc w:val="left"/>
      <w:pPr>
        <w:ind w:left="2203" w:hanging="360"/>
      </w:pPr>
      <w:rPr>
        <w:rFonts w:ascii="Symbol" w:eastAsia="Calibri" w:hAnsi="Symbol" w:cs="Times New Roman" w:hint="default"/>
      </w:rPr>
    </w:lvl>
    <w:lvl w:ilvl="1" w:tplc="2C0A0003" w:tentative="1">
      <w:start w:val="1"/>
      <w:numFmt w:val="bullet"/>
      <w:lvlText w:val="o"/>
      <w:lvlJc w:val="left"/>
      <w:pPr>
        <w:ind w:left="2923" w:hanging="360"/>
      </w:pPr>
      <w:rPr>
        <w:rFonts w:ascii="Courier New" w:hAnsi="Courier New" w:cs="Courier New" w:hint="default"/>
      </w:rPr>
    </w:lvl>
    <w:lvl w:ilvl="2" w:tplc="2C0A0005" w:tentative="1">
      <w:start w:val="1"/>
      <w:numFmt w:val="bullet"/>
      <w:lvlText w:val=""/>
      <w:lvlJc w:val="left"/>
      <w:pPr>
        <w:ind w:left="3643" w:hanging="360"/>
      </w:pPr>
      <w:rPr>
        <w:rFonts w:ascii="Wingdings" w:hAnsi="Wingdings" w:hint="default"/>
      </w:rPr>
    </w:lvl>
    <w:lvl w:ilvl="3" w:tplc="2C0A0001" w:tentative="1">
      <w:start w:val="1"/>
      <w:numFmt w:val="bullet"/>
      <w:lvlText w:val=""/>
      <w:lvlJc w:val="left"/>
      <w:pPr>
        <w:ind w:left="4363" w:hanging="360"/>
      </w:pPr>
      <w:rPr>
        <w:rFonts w:ascii="Symbol" w:hAnsi="Symbol" w:hint="default"/>
      </w:rPr>
    </w:lvl>
    <w:lvl w:ilvl="4" w:tplc="2C0A0003" w:tentative="1">
      <w:start w:val="1"/>
      <w:numFmt w:val="bullet"/>
      <w:lvlText w:val="o"/>
      <w:lvlJc w:val="left"/>
      <w:pPr>
        <w:ind w:left="5083" w:hanging="360"/>
      </w:pPr>
      <w:rPr>
        <w:rFonts w:ascii="Courier New" w:hAnsi="Courier New" w:cs="Courier New" w:hint="default"/>
      </w:rPr>
    </w:lvl>
    <w:lvl w:ilvl="5" w:tplc="2C0A0005" w:tentative="1">
      <w:start w:val="1"/>
      <w:numFmt w:val="bullet"/>
      <w:lvlText w:val=""/>
      <w:lvlJc w:val="left"/>
      <w:pPr>
        <w:ind w:left="5803" w:hanging="360"/>
      </w:pPr>
      <w:rPr>
        <w:rFonts w:ascii="Wingdings" w:hAnsi="Wingdings" w:hint="default"/>
      </w:rPr>
    </w:lvl>
    <w:lvl w:ilvl="6" w:tplc="2C0A0001" w:tentative="1">
      <w:start w:val="1"/>
      <w:numFmt w:val="bullet"/>
      <w:lvlText w:val=""/>
      <w:lvlJc w:val="left"/>
      <w:pPr>
        <w:ind w:left="6523" w:hanging="360"/>
      </w:pPr>
      <w:rPr>
        <w:rFonts w:ascii="Symbol" w:hAnsi="Symbol" w:hint="default"/>
      </w:rPr>
    </w:lvl>
    <w:lvl w:ilvl="7" w:tplc="2C0A0003" w:tentative="1">
      <w:start w:val="1"/>
      <w:numFmt w:val="bullet"/>
      <w:lvlText w:val="o"/>
      <w:lvlJc w:val="left"/>
      <w:pPr>
        <w:ind w:left="7243" w:hanging="360"/>
      </w:pPr>
      <w:rPr>
        <w:rFonts w:ascii="Courier New" w:hAnsi="Courier New" w:cs="Courier New" w:hint="default"/>
      </w:rPr>
    </w:lvl>
    <w:lvl w:ilvl="8" w:tplc="2C0A0005" w:tentative="1">
      <w:start w:val="1"/>
      <w:numFmt w:val="bullet"/>
      <w:lvlText w:val=""/>
      <w:lvlJc w:val="left"/>
      <w:pPr>
        <w:ind w:left="7963" w:hanging="360"/>
      </w:pPr>
      <w:rPr>
        <w:rFonts w:ascii="Wingdings" w:hAnsi="Wingdings" w:hint="default"/>
      </w:rPr>
    </w:lvl>
  </w:abstractNum>
  <w:num w:numId="1" w16cid:durableId="731583785">
    <w:abstractNumId w:val="7"/>
  </w:num>
  <w:num w:numId="2" w16cid:durableId="1643735151">
    <w:abstractNumId w:val="12"/>
  </w:num>
  <w:num w:numId="3" w16cid:durableId="1013343153">
    <w:abstractNumId w:val="6"/>
  </w:num>
  <w:num w:numId="4" w16cid:durableId="1463041861">
    <w:abstractNumId w:val="0"/>
  </w:num>
  <w:num w:numId="5" w16cid:durableId="1051465995">
    <w:abstractNumId w:val="13"/>
  </w:num>
  <w:num w:numId="6" w16cid:durableId="17394234">
    <w:abstractNumId w:val="3"/>
  </w:num>
  <w:num w:numId="7" w16cid:durableId="1343970228">
    <w:abstractNumId w:val="1"/>
  </w:num>
  <w:num w:numId="8" w16cid:durableId="1822383420">
    <w:abstractNumId w:val="4"/>
  </w:num>
  <w:num w:numId="9" w16cid:durableId="62021593">
    <w:abstractNumId w:val="5"/>
  </w:num>
  <w:num w:numId="10" w16cid:durableId="397747297">
    <w:abstractNumId w:val="10"/>
  </w:num>
  <w:num w:numId="11" w16cid:durableId="888882382">
    <w:abstractNumId w:val="9"/>
  </w:num>
  <w:num w:numId="12" w16cid:durableId="2093307477">
    <w:abstractNumId w:val="15"/>
  </w:num>
  <w:num w:numId="13" w16cid:durableId="1059475729">
    <w:abstractNumId w:val="8"/>
  </w:num>
  <w:num w:numId="14" w16cid:durableId="101189739">
    <w:abstractNumId w:val="14"/>
  </w:num>
  <w:num w:numId="15" w16cid:durableId="413547478">
    <w:abstractNumId w:val="11"/>
  </w:num>
  <w:num w:numId="16" w16cid:durableId="771434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69"/>
    <w:rsid w:val="0000100A"/>
    <w:rsid w:val="00001F3D"/>
    <w:rsid w:val="000058D4"/>
    <w:rsid w:val="00006908"/>
    <w:rsid w:val="00007754"/>
    <w:rsid w:val="000100E2"/>
    <w:rsid w:val="0001211C"/>
    <w:rsid w:val="00013776"/>
    <w:rsid w:val="000157A6"/>
    <w:rsid w:val="00020205"/>
    <w:rsid w:val="00020621"/>
    <w:rsid w:val="00020CD5"/>
    <w:rsid w:val="00021355"/>
    <w:rsid w:val="000228C3"/>
    <w:rsid w:val="00022FB4"/>
    <w:rsid w:val="0002404E"/>
    <w:rsid w:val="00027CBF"/>
    <w:rsid w:val="000316E0"/>
    <w:rsid w:val="00035DEE"/>
    <w:rsid w:val="00036060"/>
    <w:rsid w:val="00040D14"/>
    <w:rsid w:val="00041688"/>
    <w:rsid w:val="0004436E"/>
    <w:rsid w:val="00044895"/>
    <w:rsid w:val="00046F41"/>
    <w:rsid w:val="00050494"/>
    <w:rsid w:val="000504E1"/>
    <w:rsid w:val="00051F43"/>
    <w:rsid w:val="000532BF"/>
    <w:rsid w:val="00054C49"/>
    <w:rsid w:val="00056B60"/>
    <w:rsid w:val="00056BD6"/>
    <w:rsid w:val="00056CF5"/>
    <w:rsid w:val="00060455"/>
    <w:rsid w:val="00060C2D"/>
    <w:rsid w:val="000619A0"/>
    <w:rsid w:val="00062AE4"/>
    <w:rsid w:val="00063D63"/>
    <w:rsid w:val="00064B74"/>
    <w:rsid w:val="00071A0C"/>
    <w:rsid w:val="00080B6B"/>
    <w:rsid w:val="00084C36"/>
    <w:rsid w:val="000855DD"/>
    <w:rsid w:val="00085DC4"/>
    <w:rsid w:val="0009155A"/>
    <w:rsid w:val="00091969"/>
    <w:rsid w:val="00092985"/>
    <w:rsid w:val="00094167"/>
    <w:rsid w:val="000A0B0D"/>
    <w:rsid w:val="000A234A"/>
    <w:rsid w:val="000A4316"/>
    <w:rsid w:val="000A450E"/>
    <w:rsid w:val="000A48F3"/>
    <w:rsid w:val="000A6DA6"/>
    <w:rsid w:val="000B7871"/>
    <w:rsid w:val="000C1D31"/>
    <w:rsid w:val="000C2C0F"/>
    <w:rsid w:val="000C2E4D"/>
    <w:rsid w:val="000C380A"/>
    <w:rsid w:val="000C3B1F"/>
    <w:rsid w:val="000C4484"/>
    <w:rsid w:val="000C55DC"/>
    <w:rsid w:val="000C69C9"/>
    <w:rsid w:val="000C7A7C"/>
    <w:rsid w:val="000D2E7F"/>
    <w:rsid w:val="000D4AD9"/>
    <w:rsid w:val="000D68A3"/>
    <w:rsid w:val="000D73ED"/>
    <w:rsid w:val="000E07BD"/>
    <w:rsid w:val="000E771A"/>
    <w:rsid w:val="000F0226"/>
    <w:rsid w:val="000F1435"/>
    <w:rsid w:val="000F1BF3"/>
    <w:rsid w:val="000F3231"/>
    <w:rsid w:val="000F3376"/>
    <w:rsid w:val="000F4DBA"/>
    <w:rsid w:val="000F4E81"/>
    <w:rsid w:val="000F62CD"/>
    <w:rsid w:val="000F6F9B"/>
    <w:rsid w:val="000F701A"/>
    <w:rsid w:val="001043BA"/>
    <w:rsid w:val="00104D67"/>
    <w:rsid w:val="00105661"/>
    <w:rsid w:val="001070D9"/>
    <w:rsid w:val="0011096C"/>
    <w:rsid w:val="00113EF5"/>
    <w:rsid w:val="001152F9"/>
    <w:rsid w:val="00122CA4"/>
    <w:rsid w:val="00132479"/>
    <w:rsid w:val="0014086C"/>
    <w:rsid w:val="00140CD6"/>
    <w:rsid w:val="001451E3"/>
    <w:rsid w:val="001478E2"/>
    <w:rsid w:val="00152A2F"/>
    <w:rsid w:val="001557BE"/>
    <w:rsid w:val="00157AE7"/>
    <w:rsid w:val="001605B5"/>
    <w:rsid w:val="00165D2C"/>
    <w:rsid w:val="00170B65"/>
    <w:rsid w:val="00173E96"/>
    <w:rsid w:val="001755EB"/>
    <w:rsid w:val="00180135"/>
    <w:rsid w:val="001859FE"/>
    <w:rsid w:val="00187E85"/>
    <w:rsid w:val="00190B8C"/>
    <w:rsid w:val="001938D1"/>
    <w:rsid w:val="00193A7C"/>
    <w:rsid w:val="0019432E"/>
    <w:rsid w:val="00195782"/>
    <w:rsid w:val="00196E52"/>
    <w:rsid w:val="001A1B49"/>
    <w:rsid w:val="001A3153"/>
    <w:rsid w:val="001A4168"/>
    <w:rsid w:val="001A5DE6"/>
    <w:rsid w:val="001A746E"/>
    <w:rsid w:val="001A7CC0"/>
    <w:rsid w:val="001B038B"/>
    <w:rsid w:val="001B0844"/>
    <w:rsid w:val="001B23BD"/>
    <w:rsid w:val="001B4CB7"/>
    <w:rsid w:val="001B4E5E"/>
    <w:rsid w:val="001B57D1"/>
    <w:rsid w:val="001B59EE"/>
    <w:rsid w:val="001B6253"/>
    <w:rsid w:val="001C3A50"/>
    <w:rsid w:val="001C41BB"/>
    <w:rsid w:val="001C74AB"/>
    <w:rsid w:val="001D05DE"/>
    <w:rsid w:val="001D4D71"/>
    <w:rsid w:val="001D6F65"/>
    <w:rsid w:val="001D71FB"/>
    <w:rsid w:val="001E1869"/>
    <w:rsid w:val="001E1FF2"/>
    <w:rsid w:val="001E3CF3"/>
    <w:rsid w:val="001E58F3"/>
    <w:rsid w:val="001E5E54"/>
    <w:rsid w:val="001E6837"/>
    <w:rsid w:val="001E6D7F"/>
    <w:rsid w:val="001F6CCD"/>
    <w:rsid w:val="0020034A"/>
    <w:rsid w:val="002017CE"/>
    <w:rsid w:val="002029A2"/>
    <w:rsid w:val="0020336D"/>
    <w:rsid w:val="00204150"/>
    <w:rsid w:val="0020432D"/>
    <w:rsid w:val="00205970"/>
    <w:rsid w:val="002075BF"/>
    <w:rsid w:val="00213217"/>
    <w:rsid w:val="002143C5"/>
    <w:rsid w:val="00220CE8"/>
    <w:rsid w:val="0022480F"/>
    <w:rsid w:val="00225E87"/>
    <w:rsid w:val="00226BE4"/>
    <w:rsid w:val="00227284"/>
    <w:rsid w:val="00227558"/>
    <w:rsid w:val="00227831"/>
    <w:rsid w:val="002321ED"/>
    <w:rsid w:val="002323AB"/>
    <w:rsid w:val="00233EC1"/>
    <w:rsid w:val="00234A37"/>
    <w:rsid w:val="002360B0"/>
    <w:rsid w:val="00245AE0"/>
    <w:rsid w:val="00251E35"/>
    <w:rsid w:val="0025628D"/>
    <w:rsid w:val="00262586"/>
    <w:rsid w:val="002639AB"/>
    <w:rsid w:val="002665E7"/>
    <w:rsid w:val="00272D69"/>
    <w:rsid w:val="00275DC2"/>
    <w:rsid w:val="0027796B"/>
    <w:rsid w:val="002803C8"/>
    <w:rsid w:val="0028402A"/>
    <w:rsid w:val="00284419"/>
    <w:rsid w:val="002867D4"/>
    <w:rsid w:val="00287F87"/>
    <w:rsid w:val="00290619"/>
    <w:rsid w:val="00291640"/>
    <w:rsid w:val="002A2B07"/>
    <w:rsid w:val="002B28E0"/>
    <w:rsid w:val="002B2C8C"/>
    <w:rsid w:val="002B348D"/>
    <w:rsid w:val="002B5EC2"/>
    <w:rsid w:val="002C03B7"/>
    <w:rsid w:val="002C1BD3"/>
    <w:rsid w:val="002C35E4"/>
    <w:rsid w:val="002C375F"/>
    <w:rsid w:val="002C5762"/>
    <w:rsid w:val="002D3D7D"/>
    <w:rsid w:val="002D638D"/>
    <w:rsid w:val="002D707B"/>
    <w:rsid w:val="002E0AB2"/>
    <w:rsid w:val="002E5455"/>
    <w:rsid w:val="0030088E"/>
    <w:rsid w:val="00301E90"/>
    <w:rsid w:val="00303BE9"/>
    <w:rsid w:val="00304155"/>
    <w:rsid w:val="0030539F"/>
    <w:rsid w:val="00306714"/>
    <w:rsid w:val="00306CB3"/>
    <w:rsid w:val="00307739"/>
    <w:rsid w:val="00307CCE"/>
    <w:rsid w:val="00317784"/>
    <w:rsid w:val="00321D7D"/>
    <w:rsid w:val="00322EEB"/>
    <w:rsid w:val="00323834"/>
    <w:rsid w:val="0033077D"/>
    <w:rsid w:val="00331273"/>
    <w:rsid w:val="00333086"/>
    <w:rsid w:val="003338CC"/>
    <w:rsid w:val="0033500F"/>
    <w:rsid w:val="00335B58"/>
    <w:rsid w:val="00336945"/>
    <w:rsid w:val="003369E8"/>
    <w:rsid w:val="00337B5E"/>
    <w:rsid w:val="003416C2"/>
    <w:rsid w:val="0034445E"/>
    <w:rsid w:val="0034617D"/>
    <w:rsid w:val="003507F3"/>
    <w:rsid w:val="00352A6A"/>
    <w:rsid w:val="0035363C"/>
    <w:rsid w:val="00354C74"/>
    <w:rsid w:val="00354CDC"/>
    <w:rsid w:val="00356C1E"/>
    <w:rsid w:val="00362C85"/>
    <w:rsid w:val="00364CBC"/>
    <w:rsid w:val="00365836"/>
    <w:rsid w:val="0036669E"/>
    <w:rsid w:val="00367321"/>
    <w:rsid w:val="00370C34"/>
    <w:rsid w:val="00370D21"/>
    <w:rsid w:val="0037268C"/>
    <w:rsid w:val="00372C11"/>
    <w:rsid w:val="00373187"/>
    <w:rsid w:val="00374FDA"/>
    <w:rsid w:val="00377473"/>
    <w:rsid w:val="00380DFA"/>
    <w:rsid w:val="003821D2"/>
    <w:rsid w:val="003828A2"/>
    <w:rsid w:val="00383171"/>
    <w:rsid w:val="0038491B"/>
    <w:rsid w:val="00385E93"/>
    <w:rsid w:val="003870DE"/>
    <w:rsid w:val="00390F5F"/>
    <w:rsid w:val="00391A25"/>
    <w:rsid w:val="003944DB"/>
    <w:rsid w:val="00394E21"/>
    <w:rsid w:val="0039534A"/>
    <w:rsid w:val="00397BF0"/>
    <w:rsid w:val="00397F3C"/>
    <w:rsid w:val="003A184C"/>
    <w:rsid w:val="003A2D84"/>
    <w:rsid w:val="003A375F"/>
    <w:rsid w:val="003A5519"/>
    <w:rsid w:val="003A694B"/>
    <w:rsid w:val="003A6D16"/>
    <w:rsid w:val="003B2140"/>
    <w:rsid w:val="003B293F"/>
    <w:rsid w:val="003B3FBD"/>
    <w:rsid w:val="003B6BDE"/>
    <w:rsid w:val="003C29D6"/>
    <w:rsid w:val="003C50F7"/>
    <w:rsid w:val="003D09BE"/>
    <w:rsid w:val="003D0EF1"/>
    <w:rsid w:val="003D2AD2"/>
    <w:rsid w:val="003D4135"/>
    <w:rsid w:val="003D42F1"/>
    <w:rsid w:val="003D4322"/>
    <w:rsid w:val="003D58B8"/>
    <w:rsid w:val="003E17AF"/>
    <w:rsid w:val="003E2B62"/>
    <w:rsid w:val="003E35A0"/>
    <w:rsid w:val="003E4516"/>
    <w:rsid w:val="003E5242"/>
    <w:rsid w:val="003E547E"/>
    <w:rsid w:val="003E7D23"/>
    <w:rsid w:val="003F2C0B"/>
    <w:rsid w:val="003F66DB"/>
    <w:rsid w:val="00400480"/>
    <w:rsid w:val="00401986"/>
    <w:rsid w:val="0040409E"/>
    <w:rsid w:val="00404535"/>
    <w:rsid w:val="00404E3B"/>
    <w:rsid w:val="00405A8F"/>
    <w:rsid w:val="00406D3D"/>
    <w:rsid w:val="004070DD"/>
    <w:rsid w:val="00407B8B"/>
    <w:rsid w:val="00412ED7"/>
    <w:rsid w:val="004147AD"/>
    <w:rsid w:val="00417B2D"/>
    <w:rsid w:val="00420608"/>
    <w:rsid w:val="00420B3C"/>
    <w:rsid w:val="00422D98"/>
    <w:rsid w:val="004240E5"/>
    <w:rsid w:val="00424F48"/>
    <w:rsid w:val="004262C3"/>
    <w:rsid w:val="00433AB0"/>
    <w:rsid w:val="004379FA"/>
    <w:rsid w:val="00440C65"/>
    <w:rsid w:val="00440D56"/>
    <w:rsid w:val="0044148D"/>
    <w:rsid w:val="00444132"/>
    <w:rsid w:val="004446DE"/>
    <w:rsid w:val="00444AE3"/>
    <w:rsid w:val="00445D48"/>
    <w:rsid w:val="00447DB7"/>
    <w:rsid w:val="004537DA"/>
    <w:rsid w:val="00454B04"/>
    <w:rsid w:val="00454F35"/>
    <w:rsid w:val="00455B12"/>
    <w:rsid w:val="00457030"/>
    <w:rsid w:val="0046352B"/>
    <w:rsid w:val="00470D09"/>
    <w:rsid w:val="00473729"/>
    <w:rsid w:val="00473B10"/>
    <w:rsid w:val="00474171"/>
    <w:rsid w:val="004743B8"/>
    <w:rsid w:val="004769C8"/>
    <w:rsid w:val="00482EA6"/>
    <w:rsid w:val="00483672"/>
    <w:rsid w:val="0048373E"/>
    <w:rsid w:val="00484C7C"/>
    <w:rsid w:val="00484D52"/>
    <w:rsid w:val="00485B8E"/>
    <w:rsid w:val="00485D51"/>
    <w:rsid w:val="0049107D"/>
    <w:rsid w:val="00494100"/>
    <w:rsid w:val="004944EF"/>
    <w:rsid w:val="00497F68"/>
    <w:rsid w:val="004A3638"/>
    <w:rsid w:val="004A739D"/>
    <w:rsid w:val="004B2A09"/>
    <w:rsid w:val="004B3D0A"/>
    <w:rsid w:val="004B4DC7"/>
    <w:rsid w:val="004B6F6A"/>
    <w:rsid w:val="004C3188"/>
    <w:rsid w:val="004C35CE"/>
    <w:rsid w:val="004C3661"/>
    <w:rsid w:val="004C3ABD"/>
    <w:rsid w:val="004C4EBE"/>
    <w:rsid w:val="004C4FEB"/>
    <w:rsid w:val="004C5847"/>
    <w:rsid w:val="004C6330"/>
    <w:rsid w:val="004C64E9"/>
    <w:rsid w:val="004C6BA6"/>
    <w:rsid w:val="004D007A"/>
    <w:rsid w:val="004D0CED"/>
    <w:rsid w:val="004D3606"/>
    <w:rsid w:val="004D39D5"/>
    <w:rsid w:val="004D3FB1"/>
    <w:rsid w:val="004E02D7"/>
    <w:rsid w:val="004E1AA9"/>
    <w:rsid w:val="004E24C9"/>
    <w:rsid w:val="004E2992"/>
    <w:rsid w:val="004E5D7A"/>
    <w:rsid w:val="004E7907"/>
    <w:rsid w:val="004F092D"/>
    <w:rsid w:val="004F0EDD"/>
    <w:rsid w:val="004F2481"/>
    <w:rsid w:val="004F39A7"/>
    <w:rsid w:val="004F6CAD"/>
    <w:rsid w:val="00500B76"/>
    <w:rsid w:val="005013CF"/>
    <w:rsid w:val="00501B9C"/>
    <w:rsid w:val="00505781"/>
    <w:rsid w:val="00506EAD"/>
    <w:rsid w:val="005073A2"/>
    <w:rsid w:val="00507DFE"/>
    <w:rsid w:val="0051614A"/>
    <w:rsid w:val="00517A5C"/>
    <w:rsid w:val="00520F52"/>
    <w:rsid w:val="00521511"/>
    <w:rsid w:val="005217A2"/>
    <w:rsid w:val="00524192"/>
    <w:rsid w:val="0053044C"/>
    <w:rsid w:val="00531CBB"/>
    <w:rsid w:val="005349B2"/>
    <w:rsid w:val="00540E35"/>
    <w:rsid w:val="00541E23"/>
    <w:rsid w:val="00543EBE"/>
    <w:rsid w:val="005445DA"/>
    <w:rsid w:val="00550F6D"/>
    <w:rsid w:val="0055163D"/>
    <w:rsid w:val="00551F72"/>
    <w:rsid w:val="005520F3"/>
    <w:rsid w:val="005549C2"/>
    <w:rsid w:val="0056167C"/>
    <w:rsid w:val="00565BD8"/>
    <w:rsid w:val="005675C9"/>
    <w:rsid w:val="00570854"/>
    <w:rsid w:val="00571D22"/>
    <w:rsid w:val="0057262E"/>
    <w:rsid w:val="00572940"/>
    <w:rsid w:val="00573836"/>
    <w:rsid w:val="00573A38"/>
    <w:rsid w:val="00574A00"/>
    <w:rsid w:val="005806F2"/>
    <w:rsid w:val="0058213D"/>
    <w:rsid w:val="00582426"/>
    <w:rsid w:val="00584689"/>
    <w:rsid w:val="0058664B"/>
    <w:rsid w:val="00592075"/>
    <w:rsid w:val="005928D9"/>
    <w:rsid w:val="00593E63"/>
    <w:rsid w:val="005956CC"/>
    <w:rsid w:val="00595FED"/>
    <w:rsid w:val="005A1285"/>
    <w:rsid w:val="005A1F97"/>
    <w:rsid w:val="005A2C66"/>
    <w:rsid w:val="005A7B91"/>
    <w:rsid w:val="005B3343"/>
    <w:rsid w:val="005B7A17"/>
    <w:rsid w:val="005C0CBC"/>
    <w:rsid w:val="005C497B"/>
    <w:rsid w:val="005C55B4"/>
    <w:rsid w:val="005C619B"/>
    <w:rsid w:val="005C629E"/>
    <w:rsid w:val="005C743A"/>
    <w:rsid w:val="005C7D05"/>
    <w:rsid w:val="005D2C6B"/>
    <w:rsid w:val="005D3136"/>
    <w:rsid w:val="005D7941"/>
    <w:rsid w:val="005E1BE5"/>
    <w:rsid w:val="005E41CA"/>
    <w:rsid w:val="005E6EA2"/>
    <w:rsid w:val="005F101C"/>
    <w:rsid w:val="005F3B10"/>
    <w:rsid w:val="005F7A16"/>
    <w:rsid w:val="00600BA0"/>
    <w:rsid w:val="006020BF"/>
    <w:rsid w:val="00602753"/>
    <w:rsid w:val="00603077"/>
    <w:rsid w:val="0060309C"/>
    <w:rsid w:val="00605DEF"/>
    <w:rsid w:val="00613482"/>
    <w:rsid w:val="00615782"/>
    <w:rsid w:val="006170AA"/>
    <w:rsid w:val="00617CFD"/>
    <w:rsid w:val="00621806"/>
    <w:rsid w:val="0062225E"/>
    <w:rsid w:val="0062543D"/>
    <w:rsid w:val="00626D98"/>
    <w:rsid w:val="0062752A"/>
    <w:rsid w:val="00627AA0"/>
    <w:rsid w:val="00633285"/>
    <w:rsid w:val="00633B2F"/>
    <w:rsid w:val="006342A4"/>
    <w:rsid w:val="00635336"/>
    <w:rsid w:val="00636222"/>
    <w:rsid w:val="00644408"/>
    <w:rsid w:val="00644ECA"/>
    <w:rsid w:val="006457BC"/>
    <w:rsid w:val="00650B8C"/>
    <w:rsid w:val="00652B0F"/>
    <w:rsid w:val="0065750D"/>
    <w:rsid w:val="00657A50"/>
    <w:rsid w:val="00662B88"/>
    <w:rsid w:val="0066661D"/>
    <w:rsid w:val="0067328B"/>
    <w:rsid w:val="00674610"/>
    <w:rsid w:val="00676794"/>
    <w:rsid w:val="00676FE0"/>
    <w:rsid w:val="006778CF"/>
    <w:rsid w:val="006828C5"/>
    <w:rsid w:val="00683001"/>
    <w:rsid w:val="0068798D"/>
    <w:rsid w:val="006A041F"/>
    <w:rsid w:val="006A0CAE"/>
    <w:rsid w:val="006A10B4"/>
    <w:rsid w:val="006B10CE"/>
    <w:rsid w:val="006B2154"/>
    <w:rsid w:val="006B2698"/>
    <w:rsid w:val="006B3528"/>
    <w:rsid w:val="006B41FA"/>
    <w:rsid w:val="006B44E1"/>
    <w:rsid w:val="006C1A5D"/>
    <w:rsid w:val="006C1F52"/>
    <w:rsid w:val="006C25D1"/>
    <w:rsid w:val="006C2E6A"/>
    <w:rsid w:val="006C48AD"/>
    <w:rsid w:val="006C5BC9"/>
    <w:rsid w:val="006C607A"/>
    <w:rsid w:val="006C6ABA"/>
    <w:rsid w:val="006C70DB"/>
    <w:rsid w:val="006D2C6E"/>
    <w:rsid w:val="006D2CDA"/>
    <w:rsid w:val="006D2E6E"/>
    <w:rsid w:val="006D564F"/>
    <w:rsid w:val="006E070A"/>
    <w:rsid w:val="006E2036"/>
    <w:rsid w:val="006E20EF"/>
    <w:rsid w:val="006E2588"/>
    <w:rsid w:val="006E3F16"/>
    <w:rsid w:val="006E4C50"/>
    <w:rsid w:val="006E4D18"/>
    <w:rsid w:val="006E7B0E"/>
    <w:rsid w:val="006F2D94"/>
    <w:rsid w:val="006F3B4D"/>
    <w:rsid w:val="006F3EAD"/>
    <w:rsid w:val="006F45D9"/>
    <w:rsid w:val="006F6C6D"/>
    <w:rsid w:val="006F78D1"/>
    <w:rsid w:val="0070521D"/>
    <w:rsid w:val="00706DA2"/>
    <w:rsid w:val="0071123D"/>
    <w:rsid w:val="007126E1"/>
    <w:rsid w:val="0071298D"/>
    <w:rsid w:val="00713BAC"/>
    <w:rsid w:val="0071798E"/>
    <w:rsid w:val="00722774"/>
    <w:rsid w:val="00722922"/>
    <w:rsid w:val="00722FCB"/>
    <w:rsid w:val="00725750"/>
    <w:rsid w:val="00725A4B"/>
    <w:rsid w:val="007307AF"/>
    <w:rsid w:val="007341EF"/>
    <w:rsid w:val="00735ADD"/>
    <w:rsid w:val="007373B4"/>
    <w:rsid w:val="007373C3"/>
    <w:rsid w:val="00741DCE"/>
    <w:rsid w:val="007420F1"/>
    <w:rsid w:val="00742D5A"/>
    <w:rsid w:val="00744A2B"/>
    <w:rsid w:val="007463D2"/>
    <w:rsid w:val="00753CC8"/>
    <w:rsid w:val="0075435E"/>
    <w:rsid w:val="00755B56"/>
    <w:rsid w:val="0075733E"/>
    <w:rsid w:val="00763DBE"/>
    <w:rsid w:val="00764C64"/>
    <w:rsid w:val="00765043"/>
    <w:rsid w:val="007652E3"/>
    <w:rsid w:val="00766118"/>
    <w:rsid w:val="00767FD8"/>
    <w:rsid w:val="00770003"/>
    <w:rsid w:val="00774A8E"/>
    <w:rsid w:val="007828CC"/>
    <w:rsid w:val="00786473"/>
    <w:rsid w:val="007864A8"/>
    <w:rsid w:val="007872C5"/>
    <w:rsid w:val="0078755B"/>
    <w:rsid w:val="0079285D"/>
    <w:rsid w:val="007928FF"/>
    <w:rsid w:val="007936E6"/>
    <w:rsid w:val="007A246B"/>
    <w:rsid w:val="007A4AD1"/>
    <w:rsid w:val="007A5509"/>
    <w:rsid w:val="007A797F"/>
    <w:rsid w:val="007B12A9"/>
    <w:rsid w:val="007B2575"/>
    <w:rsid w:val="007B7755"/>
    <w:rsid w:val="007B7788"/>
    <w:rsid w:val="007C05B2"/>
    <w:rsid w:val="007C1F86"/>
    <w:rsid w:val="007C3EA9"/>
    <w:rsid w:val="007C3FE7"/>
    <w:rsid w:val="007C4D58"/>
    <w:rsid w:val="007C6CA0"/>
    <w:rsid w:val="007D18D2"/>
    <w:rsid w:val="007D1E8F"/>
    <w:rsid w:val="007D5BA0"/>
    <w:rsid w:val="007D7000"/>
    <w:rsid w:val="007E0CF1"/>
    <w:rsid w:val="007E36A7"/>
    <w:rsid w:val="007E57A3"/>
    <w:rsid w:val="007E6B9D"/>
    <w:rsid w:val="007F25DE"/>
    <w:rsid w:val="007F32AA"/>
    <w:rsid w:val="007F39F3"/>
    <w:rsid w:val="007F4706"/>
    <w:rsid w:val="007F55E7"/>
    <w:rsid w:val="007F655F"/>
    <w:rsid w:val="007F7421"/>
    <w:rsid w:val="00800419"/>
    <w:rsid w:val="00800CCC"/>
    <w:rsid w:val="00804856"/>
    <w:rsid w:val="00804DD5"/>
    <w:rsid w:val="00805088"/>
    <w:rsid w:val="00805ED1"/>
    <w:rsid w:val="00813270"/>
    <w:rsid w:val="008137CE"/>
    <w:rsid w:val="008145AE"/>
    <w:rsid w:val="008151FD"/>
    <w:rsid w:val="00816229"/>
    <w:rsid w:val="00816564"/>
    <w:rsid w:val="00817B57"/>
    <w:rsid w:val="00817CCC"/>
    <w:rsid w:val="008246A1"/>
    <w:rsid w:val="00833155"/>
    <w:rsid w:val="00834833"/>
    <w:rsid w:val="00836B24"/>
    <w:rsid w:val="008451B6"/>
    <w:rsid w:val="008465FE"/>
    <w:rsid w:val="00846A0C"/>
    <w:rsid w:val="00846D00"/>
    <w:rsid w:val="00847A78"/>
    <w:rsid w:val="00847DE8"/>
    <w:rsid w:val="00850077"/>
    <w:rsid w:val="008514F4"/>
    <w:rsid w:val="00853E55"/>
    <w:rsid w:val="0085522C"/>
    <w:rsid w:val="00856057"/>
    <w:rsid w:val="0086060E"/>
    <w:rsid w:val="00863E5C"/>
    <w:rsid w:val="00864BC1"/>
    <w:rsid w:val="00866A9E"/>
    <w:rsid w:val="008777EE"/>
    <w:rsid w:val="00877C57"/>
    <w:rsid w:val="00883135"/>
    <w:rsid w:val="0088392B"/>
    <w:rsid w:val="008859D8"/>
    <w:rsid w:val="0088746B"/>
    <w:rsid w:val="00890CDC"/>
    <w:rsid w:val="00890D82"/>
    <w:rsid w:val="00891A23"/>
    <w:rsid w:val="00891A87"/>
    <w:rsid w:val="0089210D"/>
    <w:rsid w:val="00892993"/>
    <w:rsid w:val="00893FD7"/>
    <w:rsid w:val="008943DF"/>
    <w:rsid w:val="008A05AB"/>
    <w:rsid w:val="008A248F"/>
    <w:rsid w:val="008A660E"/>
    <w:rsid w:val="008A6EB8"/>
    <w:rsid w:val="008B1F74"/>
    <w:rsid w:val="008B260F"/>
    <w:rsid w:val="008B2848"/>
    <w:rsid w:val="008B2A98"/>
    <w:rsid w:val="008B2F1A"/>
    <w:rsid w:val="008B44A4"/>
    <w:rsid w:val="008B4948"/>
    <w:rsid w:val="008B6C29"/>
    <w:rsid w:val="008B7118"/>
    <w:rsid w:val="008B73CA"/>
    <w:rsid w:val="008B7879"/>
    <w:rsid w:val="008C3F4C"/>
    <w:rsid w:val="008C7010"/>
    <w:rsid w:val="008C7744"/>
    <w:rsid w:val="008D28B0"/>
    <w:rsid w:val="008D5018"/>
    <w:rsid w:val="008D5F88"/>
    <w:rsid w:val="008D6C94"/>
    <w:rsid w:val="008E2C11"/>
    <w:rsid w:val="008E2D9F"/>
    <w:rsid w:val="008E2E37"/>
    <w:rsid w:val="008E7D04"/>
    <w:rsid w:val="008F0A30"/>
    <w:rsid w:val="008F4BE0"/>
    <w:rsid w:val="008F5C2F"/>
    <w:rsid w:val="008F7405"/>
    <w:rsid w:val="008F7772"/>
    <w:rsid w:val="008F7C8D"/>
    <w:rsid w:val="009121CA"/>
    <w:rsid w:val="00913995"/>
    <w:rsid w:val="00914212"/>
    <w:rsid w:val="009155DE"/>
    <w:rsid w:val="00916F19"/>
    <w:rsid w:val="0091777F"/>
    <w:rsid w:val="009177AA"/>
    <w:rsid w:val="00917D4B"/>
    <w:rsid w:val="00921EC1"/>
    <w:rsid w:val="00921F8E"/>
    <w:rsid w:val="00922C0C"/>
    <w:rsid w:val="00922EC5"/>
    <w:rsid w:val="00924116"/>
    <w:rsid w:val="00927157"/>
    <w:rsid w:val="009274F3"/>
    <w:rsid w:val="009308E0"/>
    <w:rsid w:val="009324F4"/>
    <w:rsid w:val="00935B1A"/>
    <w:rsid w:val="00944F0C"/>
    <w:rsid w:val="00945EEF"/>
    <w:rsid w:val="00953C6F"/>
    <w:rsid w:val="00954994"/>
    <w:rsid w:val="00955C20"/>
    <w:rsid w:val="00955FD2"/>
    <w:rsid w:val="00956A52"/>
    <w:rsid w:val="0095755E"/>
    <w:rsid w:val="009612D0"/>
    <w:rsid w:val="009619FB"/>
    <w:rsid w:val="00965FBD"/>
    <w:rsid w:val="009669D2"/>
    <w:rsid w:val="00973064"/>
    <w:rsid w:val="0097461B"/>
    <w:rsid w:val="00976AD3"/>
    <w:rsid w:val="009779D2"/>
    <w:rsid w:val="00984138"/>
    <w:rsid w:val="00991843"/>
    <w:rsid w:val="00992CFD"/>
    <w:rsid w:val="00993C48"/>
    <w:rsid w:val="009A24B7"/>
    <w:rsid w:val="009A24B8"/>
    <w:rsid w:val="009A3010"/>
    <w:rsid w:val="009A5B3B"/>
    <w:rsid w:val="009A5EF1"/>
    <w:rsid w:val="009A7094"/>
    <w:rsid w:val="009B4C0D"/>
    <w:rsid w:val="009B647B"/>
    <w:rsid w:val="009B6B2C"/>
    <w:rsid w:val="009B6DBD"/>
    <w:rsid w:val="009B6F7E"/>
    <w:rsid w:val="009C02C0"/>
    <w:rsid w:val="009C45DA"/>
    <w:rsid w:val="009C4875"/>
    <w:rsid w:val="009C52E4"/>
    <w:rsid w:val="009C7DF0"/>
    <w:rsid w:val="009D00FF"/>
    <w:rsid w:val="009D0120"/>
    <w:rsid w:val="009D0F17"/>
    <w:rsid w:val="009D3F76"/>
    <w:rsid w:val="009D546D"/>
    <w:rsid w:val="009D6E59"/>
    <w:rsid w:val="009E397F"/>
    <w:rsid w:val="009E50D9"/>
    <w:rsid w:val="009F2787"/>
    <w:rsid w:val="009F63CD"/>
    <w:rsid w:val="009F7348"/>
    <w:rsid w:val="00A02BD6"/>
    <w:rsid w:val="00A04B38"/>
    <w:rsid w:val="00A2550A"/>
    <w:rsid w:val="00A26B95"/>
    <w:rsid w:val="00A304C7"/>
    <w:rsid w:val="00A31E0C"/>
    <w:rsid w:val="00A3334F"/>
    <w:rsid w:val="00A34205"/>
    <w:rsid w:val="00A34E4A"/>
    <w:rsid w:val="00A36EC4"/>
    <w:rsid w:val="00A44E71"/>
    <w:rsid w:val="00A4703B"/>
    <w:rsid w:val="00A47D6E"/>
    <w:rsid w:val="00A50B9F"/>
    <w:rsid w:val="00A54658"/>
    <w:rsid w:val="00A62A45"/>
    <w:rsid w:val="00A63D22"/>
    <w:rsid w:val="00A700AF"/>
    <w:rsid w:val="00A7042B"/>
    <w:rsid w:val="00A74E8B"/>
    <w:rsid w:val="00A757BF"/>
    <w:rsid w:val="00A76E00"/>
    <w:rsid w:val="00A77080"/>
    <w:rsid w:val="00A80715"/>
    <w:rsid w:val="00A80C95"/>
    <w:rsid w:val="00A8153F"/>
    <w:rsid w:val="00A82E52"/>
    <w:rsid w:val="00A83FA3"/>
    <w:rsid w:val="00A87675"/>
    <w:rsid w:val="00A90689"/>
    <w:rsid w:val="00A908C3"/>
    <w:rsid w:val="00A9130F"/>
    <w:rsid w:val="00A931F3"/>
    <w:rsid w:val="00A94AFB"/>
    <w:rsid w:val="00A97E19"/>
    <w:rsid w:val="00A97FB0"/>
    <w:rsid w:val="00AA0048"/>
    <w:rsid w:val="00AA00E6"/>
    <w:rsid w:val="00AA6269"/>
    <w:rsid w:val="00AA6A77"/>
    <w:rsid w:val="00AA731F"/>
    <w:rsid w:val="00AB0CEA"/>
    <w:rsid w:val="00AB4B85"/>
    <w:rsid w:val="00AC1200"/>
    <w:rsid w:val="00AC2BE5"/>
    <w:rsid w:val="00AC4342"/>
    <w:rsid w:val="00AC79B8"/>
    <w:rsid w:val="00AD60FA"/>
    <w:rsid w:val="00AD68C0"/>
    <w:rsid w:val="00AE18DD"/>
    <w:rsid w:val="00AE33E4"/>
    <w:rsid w:val="00AE42D5"/>
    <w:rsid w:val="00AE54B2"/>
    <w:rsid w:val="00AE5959"/>
    <w:rsid w:val="00AE610F"/>
    <w:rsid w:val="00AE7638"/>
    <w:rsid w:val="00AF3281"/>
    <w:rsid w:val="00AF3CCE"/>
    <w:rsid w:val="00AF591F"/>
    <w:rsid w:val="00B04289"/>
    <w:rsid w:val="00B10D97"/>
    <w:rsid w:val="00B10F8B"/>
    <w:rsid w:val="00B116C4"/>
    <w:rsid w:val="00B11FE2"/>
    <w:rsid w:val="00B15148"/>
    <w:rsid w:val="00B2022E"/>
    <w:rsid w:val="00B26CF0"/>
    <w:rsid w:val="00B27DD1"/>
    <w:rsid w:val="00B3286E"/>
    <w:rsid w:val="00B33352"/>
    <w:rsid w:val="00B34542"/>
    <w:rsid w:val="00B425C1"/>
    <w:rsid w:val="00B42905"/>
    <w:rsid w:val="00B4369B"/>
    <w:rsid w:val="00B44171"/>
    <w:rsid w:val="00B460F5"/>
    <w:rsid w:val="00B56083"/>
    <w:rsid w:val="00B6553D"/>
    <w:rsid w:val="00B70EF5"/>
    <w:rsid w:val="00B72D9D"/>
    <w:rsid w:val="00B80763"/>
    <w:rsid w:val="00B815D9"/>
    <w:rsid w:val="00B83AD6"/>
    <w:rsid w:val="00B8544C"/>
    <w:rsid w:val="00B91573"/>
    <w:rsid w:val="00B921DC"/>
    <w:rsid w:val="00B92605"/>
    <w:rsid w:val="00B93C01"/>
    <w:rsid w:val="00BA1579"/>
    <w:rsid w:val="00BA4777"/>
    <w:rsid w:val="00BA66D9"/>
    <w:rsid w:val="00BA7248"/>
    <w:rsid w:val="00BB02D9"/>
    <w:rsid w:val="00BB2F34"/>
    <w:rsid w:val="00BB3573"/>
    <w:rsid w:val="00BB4779"/>
    <w:rsid w:val="00BB5253"/>
    <w:rsid w:val="00BB5D43"/>
    <w:rsid w:val="00BB6454"/>
    <w:rsid w:val="00BC1B99"/>
    <w:rsid w:val="00BC237A"/>
    <w:rsid w:val="00BC28A0"/>
    <w:rsid w:val="00BC640D"/>
    <w:rsid w:val="00BC6B36"/>
    <w:rsid w:val="00BC6C34"/>
    <w:rsid w:val="00BD1F15"/>
    <w:rsid w:val="00BD45BF"/>
    <w:rsid w:val="00BD580C"/>
    <w:rsid w:val="00BD5881"/>
    <w:rsid w:val="00BE02EF"/>
    <w:rsid w:val="00BE7865"/>
    <w:rsid w:val="00BF19E9"/>
    <w:rsid w:val="00BF40AC"/>
    <w:rsid w:val="00C00089"/>
    <w:rsid w:val="00C002AB"/>
    <w:rsid w:val="00C014EA"/>
    <w:rsid w:val="00C02750"/>
    <w:rsid w:val="00C045EA"/>
    <w:rsid w:val="00C04705"/>
    <w:rsid w:val="00C11DC7"/>
    <w:rsid w:val="00C13EC1"/>
    <w:rsid w:val="00C14CC9"/>
    <w:rsid w:val="00C161F8"/>
    <w:rsid w:val="00C17787"/>
    <w:rsid w:val="00C223C5"/>
    <w:rsid w:val="00C2495F"/>
    <w:rsid w:val="00C26DA0"/>
    <w:rsid w:val="00C303F8"/>
    <w:rsid w:val="00C304CB"/>
    <w:rsid w:val="00C32960"/>
    <w:rsid w:val="00C32C34"/>
    <w:rsid w:val="00C3368B"/>
    <w:rsid w:val="00C42E8F"/>
    <w:rsid w:val="00C46CAC"/>
    <w:rsid w:val="00C4740A"/>
    <w:rsid w:val="00C47D6C"/>
    <w:rsid w:val="00C50CAA"/>
    <w:rsid w:val="00C51A1F"/>
    <w:rsid w:val="00C53552"/>
    <w:rsid w:val="00C57F70"/>
    <w:rsid w:val="00C60190"/>
    <w:rsid w:val="00C61988"/>
    <w:rsid w:val="00C631C1"/>
    <w:rsid w:val="00C63C15"/>
    <w:rsid w:val="00C67666"/>
    <w:rsid w:val="00C71AC6"/>
    <w:rsid w:val="00C75B8A"/>
    <w:rsid w:val="00C76BF2"/>
    <w:rsid w:val="00C7772F"/>
    <w:rsid w:val="00C77CD2"/>
    <w:rsid w:val="00C8128D"/>
    <w:rsid w:val="00C821AC"/>
    <w:rsid w:val="00C83320"/>
    <w:rsid w:val="00C83EFB"/>
    <w:rsid w:val="00C86DCA"/>
    <w:rsid w:val="00C96082"/>
    <w:rsid w:val="00C96EBB"/>
    <w:rsid w:val="00CA0390"/>
    <w:rsid w:val="00CA0E35"/>
    <w:rsid w:val="00CA168B"/>
    <w:rsid w:val="00CA6E4D"/>
    <w:rsid w:val="00CA78C2"/>
    <w:rsid w:val="00CB16CA"/>
    <w:rsid w:val="00CB2FC8"/>
    <w:rsid w:val="00CB331F"/>
    <w:rsid w:val="00CB387D"/>
    <w:rsid w:val="00CB63E6"/>
    <w:rsid w:val="00CC0EA8"/>
    <w:rsid w:val="00CD0D55"/>
    <w:rsid w:val="00CD15CD"/>
    <w:rsid w:val="00CD4B64"/>
    <w:rsid w:val="00CD5F47"/>
    <w:rsid w:val="00CD5F6B"/>
    <w:rsid w:val="00CE3FE4"/>
    <w:rsid w:val="00CF035A"/>
    <w:rsid w:val="00CF2A48"/>
    <w:rsid w:val="00D00517"/>
    <w:rsid w:val="00D060A0"/>
    <w:rsid w:val="00D06366"/>
    <w:rsid w:val="00D10786"/>
    <w:rsid w:val="00D14352"/>
    <w:rsid w:val="00D14B40"/>
    <w:rsid w:val="00D1600E"/>
    <w:rsid w:val="00D17CCA"/>
    <w:rsid w:val="00D219F8"/>
    <w:rsid w:val="00D224D2"/>
    <w:rsid w:val="00D269BB"/>
    <w:rsid w:val="00D31C6D"/>
    <w:rsid w:val="00D32F69"/>
    <w:rsid w:val="00D343AF"/>
    <w:rsid w:val="00D34DD3"/>
    <w:rsid w:val="00D367FF"/>
    <w:rsid w:val="00D3716B"/>
    <w:rsid w:val="00D40B2A"/>
    <w:rsid w:val="00D45840"/>
    <w:rsid w:val="00D470C6"/>
    <w:rsid w:val="00D5013E"/>
    <w:rsid w:val="00D50A50"/>
    <w:rsid w:val="00D5207D"/>
    <w:rsid w:val="00D54ED7"/>
    <w:rsid w:val="00D57422"/>
    <w:rsid w:val="00D5793A"/>
    <w:rsid w:val="00D611AC"/>
    <w:rsid w:val="00D63794"/>
    <w:rsid w:val="00D66545"/>
    <w:rsid w:val="00D71146"/>
    <w:rsid w:val="00D71A2F"/>
    <w:rsid w:val="00D7375F"/>
    <w:rsid w:val="00D75AC0"/>
    <w:rsid w:val="00D76E9A"/>
    <w:rsid w:val="00D7736A"/>
    <w:rsid w:val="00D8142E"/>
    <w:rsid w:val="00D83665"/>
    <w:rsid w:val="00D87058"/>
    <w:rsid w:val="00D874A8"/>
    <w:rsid w:val="00D9069C"/>
    <w:rsid w:val="00D90EAC"/>
    <w:rsid w:val="00D93032"/>
    <w:rsid w:val="00D9352B"/>
    <w:rsid w:val="00D939BB"/>
    <w:rsid w:val="00D93E06"/>
    <w:rsid w:val="00D93E37"/>
    <w:rsid w:val="00D949B5"/>
    <w:rsid w:val="00D95704"/>
    <w:rsid w:val="00D95F46"/>
    <w:rsid w:val="00D964DD"/>
    <w:rsid w:val="00DA1CFB"/>
    <w:rsid w:val="00DA3B6B"/>
    <w:rsid w:val="00DA4381"/>
    <w:rsid w:val="00DB3085"/>
    <w:rsid w:val="00DC081F"/>
    <w:rsid w:val="00DC1CAB"/>
    <w:rsid w:val="00DC59FC"/>
    <w:rsid w:val="00DC74B2"/>
    <w:rsid w:val="00DD19EE"/>
    <w:rsid w:val="00DD238D"/>
    <w:rsid w:val="00DD2AD2"/>
    <w:rsid w:val="00DD2D31"/>
    <w:rsid w:val="00DD483E"/>
    <w:rsid w:val="00DD4A16"/>
    <w:rsid w:val="00DD68A9"/>
    <w:rsid w:val="00DD7680"/>
    <w:rsid w:val="00DD7766"/>
    <w:rsid w:val="00DD7F29"/>
    <w:rsid w:val="00DE1DFD"/>
    <w:rsid w:val="00DE662A"/>
    <w:rsid w:val="00DE78CA"/>
    <w:rsid w:val="00DF38AF"/>
    <w:rsid w:val="00DF5114"/>
    <w:rsid w:val="00DF54A0"/>
    <w:rsid w:val="00DF54F8"/>
    <w:rsid w:val="00DF5F00"/>
    <w:rsid w:val="00DF6BB6"/>
    <w:rsid w:val="00DF6C9F"/>
    <w:rsid w:val="00E015C5"/>
    <w:rsid w:val="00E047AC"/>
    <w:rsid w:val="00E06FE6"/>
    <w:rsid w:val="00E07827"/>
    <w:rsid w:val="00E07B41"/>
    <w:rsid w:val="00E1013C"/>
    <w:rsid w:val="00E10510"/>
    <w:rsid w:val="00E10874"/>
    <w:rsid w:val="00E10FBA"/>
    <w:rsid w:val="00E11613"/>
    <w:rsid w:val="00E11B20"/>
    <w:rsid w:val="00E122B4"/>
    <w:rsid w:val="00E15FF9"/>
    <w:rsid w:val="00E17763"/>
    <w:rsid w:val="00E23414"/>
    <w:rsid w:val="00E31170"/>
    <w:rsid w:val="00E3259F"/>
    <w:rsid w:val="00E32E3D"/>
    <w:rsid w:val="00E32F10"/>
    <w:rsid w:val="00E33826"/>
    <w:rsid w:val="00E37CA8"/>
    <w:rsid w:val="00E40AF3"/>
    <w:rsid w:val="00E41B20"/>
    <w:rsid w:val="00E51B94"/>
    <w:rsid w:val="00E53385"/>
    <w:rsid w:val="00E5515D"/>
    <w:rsid w:val="00E56EA8"/>
    <w:rsid w:val="00E6377A"/>
    <w:rsid w:val="00E6393D"/>
    <w:rsid w:val="00E64B5B"/>
    <w:rsid w:val="00E66547"/>
    <w:rsid w:val="00E70637"/>
    <w:rsid w:val="00E721AD"/>
    <w:rsid w:val="00E73C50"/>
    <w:rsid w:val="00E74864"/>
    <w:rsid w:val="00E74D86"/>
    <w:rsid w:val="00E774F4"/>
    <w:rsid w:val="00E8098A"/>
    <w:rsid w:val="00E864ED"/>
    <w:rsid w:val="00E9387F"/>
    <w:rsid w:val="00E96073"/>
    <w:rsid w:val="00EA6986"/>
    <w:rsid w:val="00EA6A85"/>
    <w:rsid w:val="00EB0CEE"/>
    <w:rsid w:val="00EB0FAA"/>
    <w:rsid w:val="00EB38AA"/>
    <w:rsid w:val="00EC0E8D"/>
    <w:rsid w:val="00EC4BC1"/>
    <w:rsid w:val="00EC5B2E"/>
    <w:rsid w:val="00EC5DFD"/>
    <w:rsid w:val="00ED12B7"/>
    <w:rsid w:val="00ED1AF0"/>
    <w:rsid w:val="00ED25EC"/>
    <w:rsid w:val="00ED54BF"/>
    <w:rsid w:val="00ED6196"/>
    <w:rsid w:val="00ED6A0A"/>
    <w:rsid w:val="00EE0409"/>
    <w:rsid w:val="00EE219F"/>
    <w:rsid w:val="00EE21BE"/>
    <w:rsid w:val="00EE45C0"/>
    <w:rsid w:val="00EE4828"/>
    <w:rsid w:val="00EE52BE"/>
    <w:rsid w:val="00EE65CD"/>
    <w:rsid w:val="00EE7164"/>
    <w:rsid w:val="00EF3C25"/>
    <w:rsid w:val="00EF523B"/>
    <w:rsid w:val="00EF66BF"/>
    <w:rsid w:val="00F004D2"/>
    <w:rsid w:val="00F01750"/>
    <w:rsid w:val="00F01FC4"/>
    <w:rsid w:val="00F01FF6"/>
    <w:rsid w:val="00F03985"/>
    <w:rsid w:val="00F03991"/>
    <w:rsid w:val="00F0432B"/>
    <w:rsid w:val="00F06E24"/>
    <w:rsid w:val="00F06EF4"/>
    <w:rsid w:val="00F06FD3"/>
    <w:rsid w:val="00F07354"/>
    <w:rsid w:val="00F07A9F"/>
    <w:rsid w:val="00F1080F"/>
    <w:rsid w:val="00F12958"/>
    <w:rsid w:val="00F12FC1"/>
    <w:rsid w:val="00F149EF"/>
    <w:rsid w:val="00F2018B"/>
    <w:rsid w:val="00F24E55"/>
    <w:rsid w:val="00F300D5"/>
    <w:rsid w:val="00F3075B"/>
    <w:rsid w:val="00F30BC3"/>
    <w:rsid w:val="00F3264D"/>
    <w:rsid w:val="00F329BC"/>
    <w:rsid w:val="00F367FF"/>
    <w:rsid w:val="00F37266"/>
    <w:rsid w:val="00F424F6"/>
    <w:rsid w:val="00F42E5D"/>
    <w:rsid w:val="00F435D9"/>
    <w:rsid w:val="00F43A3A"/>
    <w:rsid w:val="00F47C83"/>
    <w:rsid w:val="00F50EBA"/>
    <w:rsid w:val="00F514A7"/>
    <w:rsid w:val="00F518F1"/>
    <w:rsid w:val="00F51933"/>
    <w:rsid w:val="00F53EDC"/>
    <w:rsid w:val="00F5750A"/>
    <w:rsid w:val="00F57537"/>
    <w:rsid w:val="00F63675"/>
    <w:rsid w:val="00F63992"/>
    <w:rsid w:val="00F65290"/>
    <w:rsid w:val="00F655F8"/>
    <w:rsid w:val="00F674DA"/>
    <w:rsid w:val="00F675FE"/>
    <w:rsid w:val="00F70FB0"/>
    <w:rsid w:val="00F74915"/>
    <w:rsid w:val="00F751E4"/>
    <w:rsid w:val="00F75F40"/>
    <w:rsid w:val="00F77973"/>
    <w:rsid w:val="00F80891"/>
    <w:rsid w:val="00F80E9E"/>
    <w:rsid w:val="00F82708"/>
    <w:rsid w:val="00F91FB2"/>
    <w:rsid w:val="00F97E11"/>
    <w:rsid w:val="00FA3B08"/>
    <w:rsid w:val="00FA3EFF"/>
    <w:rsid w:val="00FB0FDC"/>
    <w:rsid w:val="00FB2135"/>
    <w:rsid w:val="00FB259F"/>
    <w:rsid w:val="00FB6790"/>
    <w:rsid w:val="00FC6208"/>
    <w:rsid w:val="00FC795D"/>
    <w:rsid w:val="00FD0E9C"/>
    <w:rsid w:val="00FD30A7"/>
    <w:rsid w:val="00FD44FA"/>
    <w:rsid w:val="00FE2AD7"/>
    <w:rsid w:val="00FE35E3"/>
    <w:rsid w:val="00FE4743"/>
    <w:rsid w:val="00FE4B91"/>
    <w:rsid w:val="00FE5874"/>
    <w:rsid w:val="00FE5DE7"/>
    <w:rsid w:val="00FE7607"/>
    <w:rsid w:val="00FF3EED"/>
    <w:rsid w:val="00FF4879"/>
    <w:rsid w:val="00FF4ABF"/>
    <w:rsid w:val="00FF55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C95CC"/>
  <w15:docId w15:val="{4994E12B-10D2-4ADF-B5FC-ACEA77E6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69"/>
    <w:rPr>
      <w:rFonts w:ascii="Calibri" w:eastAsia="Calibri" w:hAnsi="Calibri" w:cs="Times New Roman"/>
    </w:rPr>
  </w:style>
  <w:style w:type="paragraph" w:styleId="Ttulo1">
    <w:name w:val="heading 1"/>
    <w:basedOn w:val="Normal"/>
    <w:next w:val="Normal"/>
    <w:link w:val="Ttulo1Car"/>
    <w:uiPriority w:val="9"/>
    <w:qFormat/>
    <w:rsid w:val="00F12FC1"/>
    <w:pPr>
      <w:keepNext/>
      <w:keepLines/>
      <w:spacing w:before="240" w:after="240"/>
      <w:outlineLvl w:val="0"/>
    </w:pPr>
    <w:rPr>
      <w:rFonts w:asciiTheme="majorHAnsi" w:eastAsiaTheme="majorEastAsia" w:hAnsiTheme="majorHAnsi" w:cstheme="majorBidi"/>
      <w:b/>
      <w:i/>
      <w:color w:val="31479E" w:themeColor="accent1" w:themeShade="BF"/>
      <w:sz w:val="24"/>
      <w:szCs w:val="32"/>
    </w:rPr>
  </w:style>
  <w:style w:type="paragraph" w:styleId="Ttulo2">
    <w:name w:val="heading 2"/>
    <w:basedOn w:val="Normal"/>
    <w:next w:val="Normal"/>
    <w:link w:val="Ttulo2Car"/>
    <w:uiPriority w:val="9"/>
    <w:unhideWhenUsed/>
    <w:qFormat/>
    <w:rsid w:val="006B2154"/>
    <w:pPr>
      <w:keepNext/>
      <w:keepLines/>
      <w:spacing w:before="240" w:after="120"/>
      <w:outlineLvl w:val="1"/>
    </w:pPr>
    <w:rPr>
      <w:rFonts w:asciiTheme="majorHAnsi" w:eastAsiaTheme="majorEastAsia" w:hAnsiTheme="majorHAnsi" w:cstheme="majorBidi"/>
      <w:i/>
      <w:color w:val="31479E" w:themeColor="accent1" w:themeShade="BF"/>
      <w:sz w:val="24"/>
      <w:szCs w:val="26"/>
    </w:rPr>
  </w:style>
  <w:style w:type="paragraph" w:styleId="Ttulo3">
    <w:name w:val="heading 3"/>
    <w:basedOn w:val="Normal"/>
    <w:next w:val="Normal"/>
    <w:link w:val="Ttulo3Car"/>
    <w:uiPriority w:val="9"/>
    <w:unhideWhenUsed/>
    <w:qFormat/>
    <w:rsid w:val="00AE7638"/>
    <w:pPr>
      <w:keepNext/>
      <w:keepLines/>
      <w:spacing w:before="40" w:after="0"/>
      <w:outlineLvl w:val="2"/>
    </w:pPr>
    <w:rPr>
      <w:rFonts w:asciiTheme="majorHAnsi" w:eastAsiaTheme="majorEastAsia" w:hAnsiTheme="majorHAnsi" w:cstheme="majorBidi"/>
      <w:color w:val="202F6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269"/>
    <w:rPr>
      <w:rFonts w:ascii="Calibri" w:eastAsia="Calibri" w:hAnsi="Calibri" w:cs="Times New Roman"/>
    </w:rPr>
  </w:style>
  <w:style w:type="paragraph" w:styleId="Piedepgina">
    <w:name w:val="footer"/>
    <w:basedOn w:val="Normal"/>
    <w:link w:val="PiedepginaCar"/>
    <w:uiPriority w:val="99"/>
    <w:unhideWhenUsed/>
    <w:rsid w:val="00AA6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269"/>
    <w:rPr>
      <w:rFonts w:ascii="Calibri" w:eastAsia="Calibri" w:hAnsi="Calibri" w:cs="Times New Roman"/>
    </w:rPr>
  </w:style>
  <w:style w:type="table" w:styleId="Tablaconcuadrcula">
    <w:name w:val="Table Grid"/>
    <w:basedOn w:val="Tablanormal"/>
    <w:uiPriority w:val="59"/>
    <w:rsid w:val="00AA6269"/>
    <w:pPr>
      <w:spacing w:after="0" w:line="240" w:lineRule="auto"/>
    </w:pPr>
    <w:rPr>
      <w:rFonts w:ascii="Calibri" w:eastAsia="Calibri"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AA6269"/>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rsid w:val="00AA6269"/>
    <w:rPr>
      <w:rFonts w:ascii="Arial" w:eastAsia="Times New Roman" w:hAnsi="Arial" w:cs="Times New Roman"/>
      <w:sz w:val="20"/>
      <w:szCs w:val="20"/>
      <w:lang w:val="es-ES" w:eastAsia="es-ES"/>
    </w:rPr>
  </w:style>
  <w:style w:type="character" w:styleId="Refdenotaalpie">
    <w:name w:val="footnote reference"/>
    <w:rsid w:val="00AA6269"/>
    <w:rPr>
      <w:vertAlign w:val="superscript"/>
    </w:rPr>
  </w:style>
  <w:style w:type="character" w:styleId="Hipervnculo">
    <w:name w:val="Hyperlink"/>
    <w:basedOn w:val="Fuentedeprrafopredeter"/>
    <w:uiPriority w:val="99"/>
    <w:unhideWhenUsed/>
    <w:rsid w:val="00AA6269"/>
    <w:rPr>
      <w:color w:val="56C7AA" w:themeColor="hyperlink"/>
      <w:u w:val="single"/>
    </w:rPr>
  </w:style>
  <w:style w:type="paragraph" w:styleId="Prrafodelista">
    <w:name w:val="List Paragraph"/>
    <w:basedOn w:val="Normal"/>
    <w:uiPriority w:val="34"/>
    <w:qFormat/>
    <w:rsid w:val="00AA6269"/>
    <w:pPr>
      <w:ind w:left="720"/>
      <w:contextualSpacing/>
    </w:pPr>
  </w:style>
  <w:style w:type="paragraph" w:styleId="Textodeglobo">
    <w:name w:val="Balloon Text"/>
    <w:basedOn w:val="Normal"/>
    <w:link w:val="TextodegloboCar"/>
    <w:uiPriority w:val="99"/>
    <w:semiHidden/>
    <w:unhideWhenUsed/>
    <w:rsid w:val="00AA62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269"/>
    <w:rPr>
      <w:rFonts w:ascii="Tahoma" w:eastAsia="Calibri" w:hAnsi="Tahoma" w:cs="Tahoma"/>
      <w:sz w:val="16"/>
      <w:szCs w:val="16"/>
    </w:rPr>
  </w:style>
  <w:style w:type="character" w:styleId="Refdecomentario">
    <w:name w:val="annotation reference"/>
    <w:basedOn w:val="Fuentedeprrafopredeter"/>
    <w:uiPriority w:val="99"/>
    <w:semiHidden/>
    <w:unhideWhenUsed/>
    <w:rsid w:val="00205970"/>
    <w:rPr>
      <w:sz w:val="16"/>
      <w:szCs w:val="16"/>
    </w:rPr>
  </w:style>
  <w:style w:type="paragraph" w:styleId="Textocomentario">
    <w:name w:val="annotation text"/>
    <w:basedOn w:val="Normal"/>
    <w:link w:val="TextocomentarioCar"/>
    <w:uiPriority w:val="99"/>
    <w:semiHidden/>
    <w:unhideWhenUsed/>
    <w:rsid w:val="002059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97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05970"/>
    <w:rPr>
      <w:b/>
      <w:bCs/>
    </w:rPr>
  </w:style>
  <w:style w:type="character" w:customStyle="1" w:styleId="AsuntodelcomentarioCar">
    <w:name w:val="Asunto del comentario Car"/>
    <w:basedOn w:val="TextocomentarioCar"/>
    <w:link w:val="Asuntodelcomentario"/>
    <w:uiPriority w:val="99"/>
    <w:semiHidden/>
    <w:rsid w:val="00205970"/>
    <w:rPr>
      <w:rFonts w:ascii="Calibri" w:eastAsia="Calibri" w:hAnsi="Calibri" w:cs="Times New Roman"/>
      <w:b/>
      <w:bCs/>
      <w:sz w:val="20"/>
      <w:szCs w:val="20"/>
    </w:rPr>
  </w:style>
  <w:style w:type="paragraph" w:customStyle="1" w:styleId="Default">
    <w:name w:val="Default"/>
    <w:rsid w:val="00485D5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B348D"/>
    <w:pPr>
      <w:spacing w:before="100" w:beforeAutospacing="1" w:after="100" w:afterAutospacing="1" w:line="240" w:lineRule="auto"/>
    </w:pPr>
    <w:rPr>
      <w:rFonts w:ascii="Times New Roman" w:eastAsiaTheme="minorEastAsia" w:hAnsi="Times New Roman"/>
      <w:sz w:val="24"/>
      <w:szCs w:val="24"/>
      <w:lang w:eastAsia="es-AR"/>
    </w:rPr>
  </w:style>
  <w:style w:type="paragraph" w:customStyle="1" w:styleId="m6545917459438473826gmail-msolistparagraph">
    <w:name w:val="m_6545917459438473826gmail-msolistparagraph"/>
    <w:basedOn w:val="Normal"/>
    <w:rsid w:val="0061348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uiPriority w:val="9"/>
    <w:rsid w:val="00F12FC1"/>
    <w:rPr>
      <w:rFonts w:asciiTheme="majorHAnsi" w:eastAsiaTheme="majorEastAsia" w:hAnsiTheme="majorHAnsi" w:cstheme="majorBidi"/>
      <w:b/>
      <w:i/>
      <w:color w:val="31479E" w:themeColor="accent1" w:themeShade="BF"/>
      <w:sz w:val="24"/>
      <w:szCs w:val="32"/>
    </w:rPr>
  </w:style>
  <w:style w:type="paragraph" w:styleId="TtuloTDC">
    <w:name w:val="TOC Heading"/>
    <w:basedOn w:val="Ttulo1"/>
    <w:next w:val="Normal"/>
    <w:uiPriority w:val="39"/>
    <w:unhideWhenUsed/>
    <w:qFormat/>
    <w:rsid w:val="006B2154"/>
    <w:pPr>
      <w:spacing w:line="259" w:lineRule="auto"/>
      <w:outlineLvl w:val="9"/>
    </w:pPr>
    <w:rPr>
      <w:lang w:eastAsia="es-AR"/>
    </w:rPr>
  </w:style>
  <w:style w:type="character" w:customStyle="1" w:styleId="Ttulo2Car">
    <w:name w:val="Título 2 Car"/>
    <w:basedOn w:val="Fuentedeprrafopredeter"/>
    <w:link w:val="Ttulo2"/>
    <w:uiPriority w:val="9"/>
    <w:rsid w:val="006B2154"/>
    <w:rPr>
      <w:rFonts w:asciiTheme="majorHAnsi" w:eastAsiaTheme="majorEastAsia" w:hAnsiTheme="majorHAnsi" w:cstheme="majorBidi"/>
      <w:i/>
      <w:color w:val="31479E" w:themeColor="accent1" w:themeShade="BF"/>
      <w:sz w:val="24"/>
      <w:szCs w:val="26"/>
    </w:rPr>
  </w:style>
  <w:style w:type="paragraph" w:styleId="TDC1">
    <w:name w:val="toc 1"/>
    <w:basedOn w:val="Normal"/>
    <w:next w:val="Normal"/>
    <w:autoRedefine/>
    <w:uiPriority w:val="39"/>
    <w:unhideWhenUsed/>
    <w:rsid w:val="00722FCB"/>
    <w:pPr>
      <w:spacing w:after="100"/>
    </w:pPr>
  </w:style>
  <w:style w:type="paragraph" w:styleId="TDC2">
    <w:name w:val="toc 2"/>
    <w:basedOn w:val="Normal"/>
    <w:next w:val="Normal"/>
    <w:autoRedefine/>
    <w:uiPriority w:val="39"/>
    <w:unhideWhenUsed/>
    <w:rsid w:val="00722FCB"/>
    <w:pPr>
      <w:spacing w:after="100"/>
      <w:ind w:left="220"/>
    </w:pPr>
  </w:style>
  <w:style w:type="paragraph" w:styleId="Revisin">
    <w:name w:val="Revision"/>
    <w:hidden/>
    <w:uiPriority w:val="99"/>
    <w:semiHidden/>
    <w:rsid w:val="006A0CAE"/>
    <w:pPr>
      <w:spacing w:after="0" w:line="240" w:lineRule="auto"/>
    </w:pPr>
    <w:rPr>
      <w:rFonts w:ascii="Calibri" w:eastAsia="Calibri" w:hAnsi="Calibri" w:cs="Times New Roman"/>
    </w:rPr>
  </w:style>
  <w:style w:type="character" w:customStyle="1" w:styleId="Ttulo3Car">
    <w:name w:val="Título 3 Car"/>
    <w:basedOn w:val="Fuentedeprrafopredeter"/>
    <w:link w:val="Ttulo3"/>
    <w:uiPriority w:val="9"/>
    <w:rsid w:val="00AE7638"/>
    <w:rPr>
      <w:rFonts w:asciiTheme="majorHAnsi" w:eastAsiaTheme="majorEastAsia" w:hAnsiTheme="majorHAnsi" w:cstheme="majorBidi"/>
      <w:color w:val="202F69" w:themeColor="accent1" w:themeShade="7F"/>
      <w:sz w:val="24"/>
      <w:szCs w:val="24"/>
    </w:rPr>
  </w:style>
  <w:style w:type="character" w:customStyle="1" w:styleId="apple-converted-space">
    <w:name w:val="apple-converted-space"/>
    <w:basedOn w:val="Fuentedeprrafopredeter"/>
    <w:rsid w:val="0030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2759">
      <w:bodyDiv w:val="1"/>
      <w:marLeft w:val="0"/>
      <w:marRight w:val="0"/>
      <w:marTop w:val="0"/>
      <w:marBottom w:val="0"/>
      <w:divBdr>
        <w:top w:val="none" w:sz="0" w:space="0" w:color="auto"/>
        <w:left w:val="none" w:sz="0" w:space="0" w:color="auto"/>
        <w:bottom w:val="none" w:sz="0" w:space="0" w:color="auto"/>
        <w:right w:val="none" w:sz="0" w:space="0" w:color="auto"/>
      </w:divBdr>
    </w:div>
    <w:div w:id="314071217">
      <w:bodyDiv w:val="1"/>
      <w:marLeft w:val="0"/>
      <w:marRight w:val="0"/>
      <w:marTop w:val="0"/>
      <w:marBottom w:val="0"/>
      <w:divBdr>
        <w:top w:val="none" w:sz="0" w:space="0" w:color="auto"/>
        <w:left w:val="none" w:sz="0" w:space="0" w:color="auto"/>
        <w:bottom w:val="none" w:sz="0" w:space="0" w:color="auto"/>
        <w:right w:val="none" w:sz="0" w:space="0" w:color="auto"/>
      </w:divBdr>
    </w:div>
    <w:div w:id="492138006">
      <w:bodyDiv w:val="1"/>
      <w:marLeft w:val="0"/>
      <w:marRight w:val="0"/>
      <w:marTop w:val="0"/>
      <w:marBottom w:val="0"/>
      <w:divBdr>
        <w:top w:val="none" w:sz="0" w:space="0" w:color="auto"/>
        <w:left w:val="none" w:sz="0" w:space="0" w:color="auto"/>
        <w:bottom w:val="none" w:sz="0" w:space="0" w:color="auto"/>
        <w:right w:val="none" w:sz="0" w:space="0" w:color="auto"/>
      </w:divBdr>
    </w:div>
    <w:div w:id="778260758">
      <w:bodyDiv w:val="1"/>
      <w:marLeft w:val="0"/>
      <w:marRight w:val="0"/>
      <w:marTop w:val="0"/>
      <w:marBottom w:val="0"/>
      <w:divBdr>
        <w:top w:val="none" w:sz="0" w:space="0" w:color="auto"/>
        <w:left w:val="none" w:sz="0" w:space="0" w:color="auto"/>
        <w:bottom w:val="none" w:sz="0" w:space="0" w:color="auto"/>
        <w:right w:val="none" w:sz="0" w:space="0" w:color="auto"/>
      </w:divBdr>
    </w:div>
    <w:div w:id="1057361333">
      <w:bodyDiv w:val="1"/>
      <w:marLeft w:val="0"/>
      <w:marRight w:val="0"/>
      <w:marTop w:val="0"/>
      <w:marBottom w:val="0"/>
      <w:divBdr>
        <w:top w:val="none" w:sz="0" w:space="0" w:color="auto"/>
        <w:left w:val="none" w:sz="0" w:space="0" w:color="auto"/>
        <w:bottom w:val="none" w:sz="0" w:space="0" w:color="auto"/>
        <w:right w:val="none" w:sz="0" w:space="0" w:color="auto"/>
      </w:divBdr>
    </w:div>
    <w:div w:id="1148672232">
      <w:bodyDiv w:val="1"/>
      <w:marLeft w:val="0"/>
      <w:marRight w:val="0"/>
      <w:marTop w:val="0"/>
      <w:marBottom w:val="0"/>
      <w:divBdr>
        <w:top w:val="none" w:sz="0" w:space="0" w:color="auto"/>
        <w:left w:val="none" w:sz="0" w:space="0" w:color="auto"/>
        <w:bottom w:val="none" w:sz="0" w:space="0" w:color="auto"/>
        <w:right w:val="none" w:sz="0" w:space="0" w:color="auto"/>
      </w:divBdr>
    </w:div>
    <w:div w:id="1306006009">
      <w:bodyDiv w:val="1"/>
      <w:marLeft w:val="0"/>
      <w:marRight w:val="0"/>
      <w:marTop w:val="0"/>
      <w:marBottom w:val="0"/>
      <w:divBdr>
        <w:top w:val="none" w:sz="0" w:space="0" w:color="auto"/>
        <w:left w:val="none" w:sz="0" w:space="0" w:color="auto"/>
        <w:bottom w:val="none" w:sz="0" w:space="0" w:color="auto"/>
        <w:right w:val="none" w:sz="0" w:space="0" w:color="auto"/>
      </w:divBdr>
      <w:divsChild>
        <w:div w:id="891581176">
          <w:marLeft w:val="547"/>
          <w:marRight w:val="0"/>
          <w:marTop w:val="0"/>
          <w:marBottom w:val="0"/>
          <w:divBdr>
            <w:top w:val="none" w:sz="0" w:space="0" w:color="auto"/>
            <w:left w:val="none" w:sz="0" w:space="0" w:color="auto"/>
            <w:bottom w:val="none" w:sz="0" w:space="0" w:color="auto"/>
            <w:right w:val="none" w:sz="0" w:space="0" w:color="auto"/>
          </w:divBdr>
        </w:div>
      </w:divsChild>
    </w:div>
    <w:div w:id="1319847875">
      <w:bodyDiv w:val="1"/>
      <w:marLeft w:val="0"/>
      <w:marRight w:val="0"/>
      <w:marTop w:val="0"/>
      <w:marBottom w:val="0"/>
      <w:divBdr>
        <w:top w:val="none" w:sz="0" w:space="0" w:color="auto"/>
        <w:left w:val="none" w:sz="0" w:space="0" w:color="auto"/>
        <w:bottom w:val="none" w:sz="0" w:space="0" w:color="auto"/>
        <w:right w:val="none" w:sz="0" w:space="0" w:color="auto"/>
      </w:divBdr>
    </w:div>
    <w:div w:id="1331568459">
      <w:bodyDiv w:val="1"/>
      <w:marLeft w:val="0"/>
      <w:marRight w:val="0"/>
      <w:marTop w:val="0"/>
      <w:marBottom w:val="0"/>
      <w:divBdr>
        <w:top w:val="none" w:sz="0" w:space="0" w:color="auto"/>
        <w:left w:val="none" w:sz="0" w:space="0" w:color="auto"/>
        <w:bottom w:val="none" w:sz="0" w:space="0" w:color="auto"/>
        <w:right w:val="none" w:sz="0" w:space="0" w:color="auto"/>
      </w:divBdr>
    </w:div>
    <w:div w:id="1678312519">
      <w:bodyDiv w:val="1"/>
      <w:marLeft w:val="0"/>
      <w:marRight w:val="0"/>
      <w:marTop w:val="0"/>
      <w:marBottom w:val="0"/>
      <w:divBdr>
        <w:top w:val="none" w:sz="0" w:space="0" w:color="auto"/>
        <w:left w:val="none" w:sz="0" w:space="0" w:color="auto"/>
        <w:bottom w:val="none" w:sz="0" w:space="0" w:color="auto"/>
        <w:right w:val="none" w:sz="0" w:space="0" w:color="auto"/>
      </w:divBdr>
    </w:div>
    <w:div w:id="2017339588">
      <w:bodyDiv w:val="1"/>
      <w:marLeft w:val="0"/>
      <w:marRight w:val="0"/>
      <w:marTop w:val="0"/>
      <w:marBottom w:val="0"/>
      <w:divBdr>
        <w:top w:val="none" w:sz="0" w:space="0" w:color="auto"/>
        <w:left w:val="none" w:sz="0" w:space="0" w:color="auto"/>
        <w:bottom w:val="none" w:sz="0" w:space="0" w:color="auto"/>
        <w:right w:val="none" w:sz="0" w:space="0" w:color="auto"/>
      </w:divBdr>
    </w:div>
    <w:div w:id="2021812138">
      <w:bodyDiv w:val="1"/>
      <w:marLeft w:val="0"/>
      <w:marRight w:val="0"/>
      <w:marTop w:val="0"/>
      <w:marBottom w:val="0"/>
      <w:divBdr>
        <w:top w:val="none" w:sz="0" w:space="0" w:color="auto"/>
        <w:left w:val="none" w:sz="0" w:space="0" w:color="auto"/>
        <w:bottom w:val="none" w:sz="0" w:space="0" w:color="auto"/>
        <w:right w:val="none" w:sz="0" w:space="0" w:color="auto"/>
      </w:divBdr>
      <w:divsChild>
        <w:div w:id="40130107">
          <w:marLeft w:val="0"/>
          <w:marRight w:val="0"/>
          <w:marTop w:val="0"/>
          <w:marBottom w:val="0"/>
          <w:divBdr>
            <w:top w:val="none" w:sz="0" w:space="0" w:color="auto"/>
            <w:left w:val="none" w:sz="0" w:space="0" w:color="auto"/>
            <w:bottom w:val="none" w:sz="0" w:space="0" w:color="auto"/>
            <w:right w:val="none" w:sz="0" w:space="0" w:color="auto"/>
          </w:divBdr>
          <w:divsChild>
            <w:div w:id="1372612662">
              <w:marLeft w:val="0"/>
              <w:marRight w:val="0"/>
              <w:marTop w:val="0"/>
              <w:marBottom w:val="0"/>
              <w:divBdr>
                <w:top w:val="none" w:sz="0" w:space="0" w:color="auto"/>
                <w:left w:val="none" w:sz="0" w:space="0" w:color="auto"/>
                <w:bottom w:val="none" w:sz="0" w:space="0" w:color="auto"/>
                <w:right w:val="none" w:sz="0" w:space="0" w:color="auto"/>
              </w:divBdr>
            </w:div>
            <w:div w:id="388457340">
              <w:marLeft w:val="0"/>
              <w:marRight w:val="0"/>
              <w:marTop w:val="0"/>
              <w:marBottom w:val="0"/>
              <w:divBdr>
                <w:top w:val="none" w:sz="0" w:space="0" w:color="auto"/>
                <w:left w:val="none" w:sz="0" w:space="0" w:color="auto"/>
                <w:bottom w:val="none" w:sz="0" w:space="0" w:color="auto"/>
                <w:right w:val="none" w:sz="0" w:space="0" w:color="auto"/>
              </w:divBdr>
            </w:div>
            <w:div w:id="703094260">
              <w:marLeft w:val="0"/>
              <w:marRight w:val="0"/>
              <w:marTop w:val="0"/>
              <w:marBottom w:val="0"/>
              <w:divBdr>
                <w:top w:val="none" w:sz="0" w:space="0" w:color="auto"/>
                <w:left w:val="none" w:sz="0" w:space="0" w:color="auto"/>
                <w:bottom w:val="none" w:sz="0" w:space="0" w:color="auto"/>
                <w:right w:val="none" w:sz="0" w:space="0" w:color="auto"/>
              </w:divBdr>
            </w:div>
            <w:div w:id="192815994">
              <w:marLeft w:val="0"/>
              <w:marRight w:val="0"/>
              <w:marTop w:val="0"/>
              <w:marBottom w:val="0"/>
              <w:divBdr>
                <w:top w:val="none" w:sz="0" w:space="0" w:color="auto"/>
                <w:left w:val="none" w:sz="0" w:space="0" w:color="auto"/>
                <w:bottom w:val="none" w:sz="0" w:space="0" w:color="auto"/>
                <w:right w:val="none" w:sz="0" w:space="0" w:color="auto"/>
              </w:divBdr>
            </w:div>
            <w:div w:id="486944085">
              <w:marLeft w:val="0"/>
              <w:marRight w:val="0"/>
              <w:marTop w:val="0"/>
              <w:marBottom w:val="0"/>
              <w:divBdr>
                <w:top w:val="none" w:sz="0" w:space="0" w:color="auto"/>
                <w:left w:val="none" w:sz="0" w:space="0" w:color="auto"/>
                <w:bottom w:val="none" w:sz="0" w:space="0" w:color="auto"/>
                <w:right w:val="none" w:sz="0" w:space="0" w:color="auto"/>
              </w:divBdr>
            </w:div>
            <w:div w:id="632834065">
              <w:marLeft w:val="0"/>
              <w:marRight w:val="0"/>
              <w:marTop w:val="0"/>
              <w:marBottom w:val="0"/>
              <w:divBdr>
                <w:top w:val="none" w:sz="0" w:space="0" w:color="auto"/>
                <w:left w:val="none" w:sz="0" w:space="0" w:color="auto"/>
                <w:bottom w:val="none" w:sz="0" w:space="0" w:color="auto"/>
                <w:right w:val="none" w:sz="0" w:space="0" w:color="auto"/>
              </w:divBdr>
            </w:div>
            <w:div w:id="1163230897">
              <w:marLeft w:val="0"/>
              <w:marRight w:val="0"/>
              <w:marTop w:val="0"/>
              <w:marBottom w:val="0"/>
              <w:divBdr>
                <w:top w:val="none" w:sz="0" w:space="0" w:color="auto"/>
                <w:left w:val="none" w:sz="0" w:space="0" w:color="auto"/>
                <w:bottom w:val="none" w:sz="0" w:space="0" w:color="auto"/>
                <w:right w:val="none" w:sz="0" w:space="0" w:color="auto"/>
              </w:divBdr>
            </w:div>
          </w:divsChild>
        </w:div>
        <w:div w:id="20058053">
          <w:marLeft w:val="0"/>
          <w:marRight w:val="0"/>
          <w:marTop w:val="30"/>
          <w:marBottom w:val="0"/>
          <w:divBdr>
            <w:top w:val="none" w:sz="0" w:space="0" w:color="auto"/>
            <w:left w:val="none" w:sz="0" w:space="0" w:color="auto"/>
            <w:bottom w:val="none" w:sz="0" w:space="0" w:color="auto"/>
            <w:right w:val="none" w:sz="0" w:space="0" w:color="auto"/>
          </w:divBdr>
          <w:divsChild>
            <w:div w:id="7683559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41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zas.cba.gov.ar/publicacion/haberes-previsiona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2023\6-Junio%202023\Soporte%20Gacetilla%20-%20Junio%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2023\6-Junio%202023\Soporte%20Gacetilla%20-%20Junio%20202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2023\6-Junio%202023\Soporte%20Gacetilla%20-%20Junio%2020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2023\6-Junio%202023\Soporte%20Gacetilla%20-%20Junio%20202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C0-4760-9C4F-605E8AB635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C0-4760-9C4F-605E8AB635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C0-4760-9C4F-605E8AB635E8}"/>
              </c:ext>
            </c:extLst>
          </c:dPt>
          <c:dLbls>
            <c:dLbl>
              <c:idx val="0"/>
              <c:layout>
                <c:manualLayout>
                  <c:x val="-1.4765822541413856E-3"/>
                  <c:y val="4.4043452901720619E-2"/>
                </c:manualLayout>
              </c:layout>
              <c:showLegendKey val="1"/>
              <c:showVal val="1"/>
              <c:showCatName val="1"/>
              <c:showSerName val="0"/>
              <c:showPercent val="1"/>
              <c:showBubbleSize val="0"/>
              <c:extLst>
                <c:ext xmlns:c15="http://schemas.microsoft.com/office/drawing/2012/chart" uri="{CE6537A1-D6FC-4f65-9D91-7224C49458BB}">
                  <c15:layout>
                    <c:manualLayout>
                      <c:w val="0.24551113803082311"/>
                      <c:h val="0.14276041666666667"/>
                    </c:manualLayout>
                  </c15:layout>
                </c:ext>
                <c:ext xmlns:c16="http://schemas.microsoft.com/office/drawing/2014/chart" uri="{C3380CC4-5D6E-409C-BE32-E72D297353CC}">
                  <c16:uniqueId val="{00000001-29C0-4760-9C4F-605E8AB635E8}"/>
                </c:ext>
              </c:extLst>
            </c:dLbl>
            <c:dLbl>
              <c:idx val="1"/>
              <c:layout>
                <c:manualLayout>
                  <c:x val="6.4271653543307083E-3"/>
                  <c:y val="-6.7049795858850972E-2"/>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9C0-4760-9C4F-605E8AB635E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AR"/>
              </a:p>
            </c:txPr>
            <c:showLegendKey val="1"/>
            <c:showVal val="1"/>
            <c:showCatName val="1"/>
            <c:showSerName val="0"/>
            <c:showPercent val="1"/>
            <c:showBubbleSize val="0"/>
            <c:showLeaderLines val="0"/>
            <c:extLst>
              <c:ext xmlns:c15="http://schemas.microsoft.com/office/drawing/2012/chart" uri="{CE6537A1-D6FC-4f65-9D91-7224C49458BB}"/>
            </c:extLst>
          </c:dLbls>
          <c:cat>
            <c:strRef>
              <c:f>Gráficos!$C$4:$C$6</c:f>
              <c:strCache>
                <c:ptCount val="3"/>
                <c:pt idx="0">
                  <c:v>Caja</c:v>
                </c:pt>
                <c:pt idx="1">
                  <c:v>ANSES</c:v>
                </c:pt>
                <c:pt idx="2">
                  <c:v>Cajas Profesionales</c:v>
                </c:pt>
              </c:strCache>
            </c:strRef>
          </c:cat>
          <c:val>
            <c:numRef>
              <c:f>Gráficos!$D$4:$D$6</c:f>
              <c:numCache>
                <c:formatCode>_-* #,##0_-;\-* #,##0_-;_-* "-"??_-;_-@_-</c:formatCode>
                <c:ptCount val="3"/>
                <c:pt idx="0">
                  <c:v>111141</c:v>
                </c:pt>
                <c:pt idx="1">
                  <c:v>692070</c:v>
                </c:pt>
                <c:pt idx="2">
                  <c:v>19629.484088839647</c:v>
                </c:pt>
              </c:numCache>
            </c:numRef>
          </c:val>
          <c:extLst>
            <c:ext xmlns:c16="http://schemas.microsoft.com/office/drawing/2014/chart" uri="{C3380CC4-5D6E-409C-BE32-E72D297353CC}">
              <c16:uniqueId val="{00000006-29C0-4760-9C4F-605E8AB635E8}"/>
            </c:ext>
          </c:extLst>
        </c:ser>
        <c:dLbls>
          <c:showLegendKey val="0"/>
          <c:showVal val="1"/>
          <c:showCatName val="1"/>
          <c:showSerName val="0"/>
          <c:showPercent val="0"/>
          <c:showBubbleSize val="0"/>
          <c:showLeaderLines val="0"/>
        </c:dLbls>
        <c:firstSliceAng val="7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3425925925925927"/>
          <c:w val="0.93888888888888888"/>
          <c:h val="0.62403215223097108"/>
        </c:manualLayout>
      </c:layout>
      <c:barChart>
        <c:barDir val="col"/>
        <c:grouping val="stacked"/>
        <c:varyColors val="0"/>
        <c:ser>
          <c:idx val="0"/>
          <c:order val="0"/>
          <c:tx>
            <c:strRef>
              <c:f>Gráficos!$B$58</c:f>
              <c:strCache>
                <c:ptCount val="1"/>
                <c:pt idx="0">
                  <c:v>Caja </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(Gráficos!$D$57,Gráficos!$AJ$57)</c:f>
              <c:strCache>
                <c:ptCount val="2"/>
                <c:pt idx="0">
                  <c:v>II-2015</c:v>
                </c:pt>
                <c:pt idx="1">
                  <c:v>II-2023</c:v>
                </c:pt>
              </c:strCache>
            </c:strRef>
          </c:cat>
          <c:val>
            <c:numRef>
              <c:f>(Gráficos!$D$58,Gráficos!$AJ$58)</c:f>
              <c:numCache>
                <c:formatCode>_-* #,##0_-;\-* #,##0_-;_-* "-"??_-;_-@_-</c:formatCode>
                <c:ptCount val="2"/>
                <c:pt idx="0">
                  <c:v>95511</c:v>
                </c:pt>
                <c:pt idx="1">
                  <c:v>111141</c:v>
                </c:pt>
              </c:numCache>
            </c:numRef>
          </c:val>
          <c:extLst>
            <c:ext xmlns:c16="http://schemas.microsoft.com/office/drawing/2014/chart" uri="{C3380CC4-5D6E-409C-BE32-E72D297353CC}">
              <c16:uniqueId val="{00000000-5D59-41E7-886D-D7167FF4FE1F}"/>
            </c:ext>
          </c:extLst>
        </c:ser>
        <c:ser>
          <c:idx val="1"/>
          <c:order val="1"/>
          <c:tx>
            <c:strRef>
              <c:f>Gráficos!$B$59</c:f>
              <c:strCache>
                <c:ptCount val="1"/>
                <c:pt idx="0">
                  <c:v>ANSES</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(Gráficos!$D$57,Gráficos!$AJ$57)</c:f>
              <c:strCache>
                <c:ptCount val="2"/>
                <c:pt idx="0">
                  <c:v>II-2015</c:v>
                </c:pt>
                <c:pt idx="1">
                  <c:v>II-2023</c:v>
                </c:pt>
              </c:strCache>
            </c:strRef>
          </c:cat>
          <c:val>
            <c:numRef>
              <c:f>(Gráficos!$D$59,Gráficos!$AJ$59)</c:f>
              <c:numCache>
                <c:formatCode>_-* #,##0_-;\-* #,##0_-;_-* "-"??_-;_-@_-</c:formatCode>
                <c:ptCount val="2"/>
                <c:pt idx="0">
                  <c:v>608006.5274439659</c:v>
                </c:pt>
                <c:pt idx="1">
                  <c:v>692070</c:v>
                </c:pt>
              </c:numCache>
            </c:numRef>
          </c:val>
          <c:extLst>
            <c:ext xmlns:c16="http://schemas.microsoft.com/office/drawing/2014/chart" uri="{C3380CC4-5D6E-409C-BE32-E72D297353CC}">
              <c16:uniqueId val="{00000001-5D59-41E7-886D-D7167FF4FE1F}"/>
            </c:ext>
          </c:extLst>
        </c:ser>
        <c:ser>
          <c:idx val="2"/>
          <c:order val="2"/>
          <c:tx>
            <c:strRef>
              <c:f>Gráficos!$B$60</c:f>
              <c:strCache>
                <c:ptCount val="1"/>
                <c:pt idx="0">
                  <c:v>Cajas Profesionales</c:v>
                </c:pt>
              </c:strCache>
            </c:strRef>
          </c:tx>
          <c:spPr>
            <a:solidFill>
              <a:schemeClr val="accent3"/>
            </a:solidFill>
            <a:ln>
              <a:noFill/>
            </a:ln>
            <a:effectLst/>
          </c:spPr>
          <c:invertIfNegative val="0"/>
          <c:dLbls>
            <c:dLbl>
              <c:idx val="1"/>
              <c:layout>
                <c:manualLayout>
                  <c:x val="0"/>
                  <c:y val="1.388888888888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59-41E7-886D-D7167FF4FE1F}"/>
                </c:ext>
              </c:extLst>
            </c:dLbl>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(Gráficos!$D$57,Gráficos!$AJ$57)</c:f>
              <c:strCache>
                <c:ptCount val="2"/>
                <c:pt idx="0">
                  <c:v>II-2015</c:v>
                </c:pt>
                <c:pt idx="1">
                  <c:v>II-2023</c:v>
                </c:pt>
              </c:strCache>
            </c:strRef>
          </c:cat>
          <c:val>
            <c:numRef>
              <c:f>(Gráficos!$D$60,Gráficos!$AJ$60)</c:f>
              <c:numCache>
                <c:formatCode>_-* #,##0_-;\-* #,##0_-;_-* "-"??_-;_-@_-</c:formatCode>
                <c:ptCount val="2"/>
                <c:pt idx="0">
                  <c:v>13043</c:v>
                </c:pt>
                <c:pt idx="1">
                  <c:v>19629.484088839647</c:v>
                </c:pt>
              </c:numCache>
            </c:numRef>
          </c:val>
          <c:extLst>
            <c:ext xmlns:c16="http://schemas.microsoft.com/office/drawing/2014/chart" uri="{C3380CC4-5D6E-409C-BE32-E72D297353CC}">
              <c16:uniqueId val="{00000003-5D59-41E7-886D-D7167FF4FE1F}"/>
            </c:ext>
          </c:extLst>
        </c:ser>
        <c:dLbls>
          <c:showLegendKey val="0"/>
          <c:showVal val="1"/>
          <c:showCatName val="0"/>
          <c:showSerName val="0"/>
          <c:showPercent val="0"/>
          <c:showBubbleSize val="0"/>
        </c:dLbls>
        <c:gapWidth val="75"/>
        <c:overlap val="100"/>
        <c:axId val="551475208"/>
        <c:axId val="551473048"/>
      </c:barChart>
      <c:lineChart>
        <c:grouping val="standard"/>
        <c:varyColors val="0"/>
        <c:ser>
          <c:idx val="3"/>
          <c:order val="3"/>
          <c:spPr>
            <a:ln w="25400" cap="rnd">
              <a:noFill/>
              <a:round/>
            </a:ln>
            <a:effectLst/>
          </c:spPr>
          <c:marker>
            <c:symbol val="triangle"/>
            <c:size val="9"/>
            <c:spPr>
              <a:solidFill>
                <a:schemeClr val="accent4"/>
              </a:solidFill>
              <a:ln w="9525">
                <a:solidFill>
                  <a:schemeClr val="accent4"/>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A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(Gráficos!$D$57,Gráficos!$AJ$57)</c:f>
              <c:strCache>
                <c:ptCount val="2"/>
                <c:pt idx="0">
                  <c:v>II-2015</c:v>
                </c:pt>
                <c:pt idx="1">
                  <c:v>II-2023</c:v>
                </c:pt>
              </c:strCache>
            </c:strRef>
          </c:cat>
          <c:val>
            <c:numRef>
              <c:f>(Gráficos!$D$61,Gráficos!$AJ$61)</c:f>
              <c:numCache>
                <c:formatCode>_-* #,##0_-;\-* #,##0_-;_-* "-"??_-;_-@_-</c:formatCode>
                <c:ptCount val="2"/>
                <c:pt idx="0">
                  <c:v>716560.5274439659</c:v>
                </c:pt>
                <c:pt idx="1">
                  <c:v>822840.48408883961</c:v>
                </c:pt>
              </c:numCache>
            </c:numRef>
          </c:val>
          <c:smooth val="0"/>
          <c:extLst>
            <c:ext xmlns:c16="http://schemas.microsoft.com/office/drawing/2014/chart" uri="{C3380CC4-5D6E-409C-BE32-E72D297353CC}">
              <c16:uniqueId val="{00000004-5D59-41E7-886D-D7167FF4FE1F}"/>
            </c:ext>
          </c:extLst>
        </c:ser>
        <c:dLbls>
          <c:showLegendKey val="0"/>
          <c:showVal val="0"/>
          <c:showCatName val="0"/>
          <c:showSerName val="0"/>
          <c:showPercent val="0"/>
          <c:showBubbleSize val="0"/>
        </c:dLbls>
        <c:marker val="1"/>
        <c:smooth val="0"/>
        <c:axId val="551475208"/>
        <c:axId val="551473048"/>
      </c:lineChart>
      <c:catAx>
        <c:axId val="55147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crossAx val="551473048"/>
        <c:crosses val="autoZero"/>
        <c:auto val="1"/>
        <c:lblAlgn val="ctr"/>
        <c:lblOffset val="100"/>
        <c:noMultiLvlLbl val="0"/>
      </c:catAx>
      <c:valAx>
        <c:axId val="551473048"/>
        <c:scaling>
          <c:orientation val="minMax"/>
        </c:scaling>
        <c:delete val="1"/>
        <c:axPos val="l"/>
        <c:numFmt formatCode="_-* #,##0_-;\-* #,##0_-;_-* &quot;-&quot;??_-;_-@_-" sourceLinked="1"/>
        <c:majorTickMark val="none"/>
        <c:minorTickMark val="none"/>
        <c:tickLblPos val="nextTo"/>
        <c:crossAx val="551475208"/>
        <c:crosses val="autoZero"/>
        <c:crossBetween val="between"/>
        <c:dispUnits>
          <c:builtInUnit val="thousands"/>
          <c:dispUnitsLbl>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s-A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8.7962962962962965E-2"/>
          <c:w val="0.93888888888888888"/>
          <c:h val="0.6536650627004958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Gráficos!$B$16:$C$22</c:f>
              <c:multiLvlStrCache>
                <c:ptCount val="7"/>
                <c:lvl>
                  <c:pt idx="0">
                    <c:v>Caja</c:v>
                  </c:pt>
                  <c:pt idx="1">
                    <c:v>ANSES</c:v>
                  </c:pt>
                  <c:pt idx="2">
                    <c:v>Notarial</c:v>
                  </c:pt>
                  <c:pt idx="3">
                    <c:v>Abogados</c:v>
                  </c:pt>
                  <c:pt idx="4">
                    <c:v>Ingenieros</c:v>
                  </c:pt>
                  <c:pt idx="5">
                    <c:v>Ciencias Económicas</c:v>
                  </c:pt>
                  <c:pt idx="6">
                    <c:v>Salud</c:v>
                  </c:pt>
                </c:lvl>
                <c:lvl>
                  <c:pt idx="2">
                    <c:v>Cajas de Profesionales</c:v>
                  </c:pt>
                </c:lvl>
              </c:multiLvlStrCache>
            </c:multiLvlStrRef>
          </c:cat>
          <c:val>
            <c:numRef>
              <c:f>Gráficos!$D$16:$D$22</c:f>
              <c:numCache>
                <c:formatCode>_-"$"\ * #,##0_-;\-"$"\ * #,##0_-;_-"$"\ * "-"??_-;_-@_-</c:formatCode>
                <c:ptCount val="7"/>
                <c:pt idx="0">
                  <c:v>306028</c:v>
                </c:pt>
                <c:pt idx="1">
                  <c:v>106543.56688506657</c:v>
                </c:pt>
                <c:pt idx="2">
                  <c:v>464747.88666666666</c:v>
                </c:pt>
                <c:pt idx="3">
                  <c:v>147871.38734370639</c:v>
                </c:pt>
                <c:pt idx="4">
                  <c:v>113630.9696167009</c:v>
                </c:pt>
                <c:pt idx="5">
                  <c:v>112771.83207705192</c:v>
                </c:pt>
                <c:pt idx="6">
                  <c:v>103413.41811881188</c:v>
                </c:pt>
              </c:numCache>
            </c:numRef>
          </c:val>
          <c:extLst>
            <c:ext xmlns:c16="http://schemas.microsoft.com/office/drawing/2014/chart" uri="{C3380CC4-5D6E-409C-BE32-E72D297353CC}">
              <c16:uniqueId val="{00000000-5B57-4ADF-B81B-170CC8AD2F66}"/>
            </c:ext>
          </c:extLst>
        </c:ser>
        <c:dLbls>
          <c:showLegendKey val="0"/>
          <c:showVal val="1"/>
          <c:showCatName val="0"/>
          <c:showSerName val="0"/>
          <c:showPercent val="0"/>
          <c:showBubbleSize val="0"/>
        </c:dLbls>
        <c:gapWidth val="30"/>
        <c:axId val="508752328"/>
        <c:axId val="508751968"/>
      </c:barChart>
      <c:lineChart>
        <c:grouping val="standard"/>
        <c:varyColors val="0"/>
        <c:ser>
          <c:idx val="1"/>
          <c:order val="1"/>
          <c:spPr>
            <a:ln w="28575" cap="rnd">
              <a:solidFill>
                <a:schemeClr val="accent2"/>
              </a:solidFill>
              <a:prstDash val="sysDot"/>
              <a:round/>
            </a:ln>
            <a:effectLst/>
          </c:spPr>
          <c:marker>
            <c:symbol val="none"/>
          </c:marker>
          <c:cat>
            <c:strRef>
              <c:f>Gráficos!$C$16:$C$22</c:f>
              <c:strCache>
                <c:ptCount val="7"/>
                <c:pt idx="0">
                  <c:v>Caja</c:v>
                </c:pt>
                <c:pt idx="1">
                  <c:v>ANSES</c:v>
                </c:pt>
                <c:pt idx="2">
                  <c:v>Notarial</c:v>
                </c:pt>
                <c:pt idx="3">
                  <c:v>Abogados</c:v>
                </c:pt>
                <c:pt idx="4">
                  <c:v>Ingenieros</c:v>
                </c:pt>
                <c:pt idx="5">
                  <c:v>Ciencias Económicas</c:v>
                </c:pt>
                <c:pt idx="6">
                  <c:v>Salud</c:v>
                </c:pt>
              </c:strCache>
            </c:strRef>
          </c:cat>
          <c:val>
            <c:numRef>
              <c:f>Gráficos!$E$16:$E$22</c:f>
              <c:numCache>
                <c:formatCode>_-"$"\ * #,##0_-;\-"$"\ * #,##0_-;_-"$"\ * "-"??_-;_-@_-</c:formatCode>
                <c:ptCount val="7"/>
                <c:pt idx="0">
                  <c:v>138739.61693551505</c:v>
                </c:pt>
                <c:pt idx="1">
                  <c:v>138739.61693551505</c:v>
                </c:pt>
                <c:pt idx="2">
                  <c:v>138739.61693551505</c:v>
                </c:pt>
                <c:pt idx="3">
                  <c:v>138739.61693551505</c:v>
                </c:pt>
                <c:pt idx="4">
                  <c:v>138739.61693551505</c:v>
                </c:pt>
                <c:pt idx="5">
                  <c:v>138739.61693551505</c:v>
                </c:pt>
                <c:pt idx="6">
                  <c:v>138739.61693551505</c:v>
                </c:pt>
              </c:numCache>
            </c:numRef>
          </c:val>
          <c:smooth val="0"/>
          <c:extLst>
            <c:ext xmlns:c16="http://schemas.microsoft.com/office/drawing/2014/chart" uri="{C3380CC4-5D6E-409C-BE32-E72D297353CC}">
              <c16:uniqueId val="{00000001-5B57-4ADF-B81B-170CC8AD2F66}"/>
            </c:ext>
          </c:extLst>
        </c:ser>
        <c:dLbls>
          <c:showLegendKey val="0"/>
          <c:showVal val="0"/>
          <c:showCatName val="0"/>
          <c:showSerName val="0"/>
          <c:showPercent val="0"/>
          <c:showBubbleSize val="0"/>
        </c:dLbls>
        <c:marker val="1"/>
        <c:smooth val="0"/>
        <c:axId val="508752328"/>
        <c:axId val="508751968"/>
      </c:lineChart>
      <c:catAx>
        <c:axId val="50875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crossAx val="508751968"/>
        <c:crosses val="autoZero"/>
        <c:auto val="1"/>
        <c:lblAlgn val="ctr"/>
        <c:lblOffset val="100"/>
        <c:noMultiLvlLbl val="0"/>
      </c:catAx>
      <c:valAx>
        <c:axId val="508751968"/>
        <c:scaling>
          <c:orientation val="minMax"/>
        </c:scaling>
        <c:delete val="1"/>
        <c:axPos val="l"/>
        <c:numFmt formatCode="_-&quot;$&quot;\ * #,##0_-;\-&quot;$&quot;\ * #,##0_-;_-&quot;$&quot;\ * &quot;-&quot;??_-;_-@_-" sourceLinked="1"/>
        <c:majorTickMark val="none"/>
        <c:minorTickMark val="none"/>
        <c:tickLblPos val="nextTo"/>
        <c:crossAx val="508752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AR"/>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480038480038482E-2"/>
          <c:y val="5.0925925925925923E-2"/>
          <c:w val="0.92296493241375133"/>
          <c:h val="0.64969342373869932"/>
        </c:manualLayout>
      </c:layout>
      <c:lineChart>
        <c:grouping val="standard"/>
        <c:varyColors val="0"/>
        <c:ser>
          <c:idx val="0"/>
          <c:order val="0"/>
          <c:tx>
            <c:strRef>
              <c:f>Gráficos!$B$35</c:f>
              <c:strCache>
                <c:ptCount val="1"/>
                <c:pt idx="0">
                  <c:v>Caja </c:v>
                </c:pt>
              </c:strCache>
            </c:strRef>
          </c:tx>
          <c:spPr>
            <a:ln w="28575" cap="rnd">
              <a:solidFill>
                <a:schemeClr val="accent1"/>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78-42CC-89CA-1A6F159FC84B}"/>
                </c:ext>
              </c:extLst>
            </c:dLbl>
            <c:dLbl>
              <c:idx val="3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78-42CC-89CA-1A6F159FC84B}"/>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A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Gráficos!$C$34:$AJ$34</c:f>
              <c:strCache>
                <c:ptCount val="34"/>
                <c:pt idx="0">
                  <c:v>I-2015</c:v>
                </c:pt>
                <c:pt idx="1">
                  <c:v>II-2015</c:v>
                </c:pt>
                <c:pt idx="2">
                  <c:v>III-2015</c:v>
                </c:pt>
                <c:pt idx="3">
                  <c:v>IV-2015</c:v>
                </c:pt>
                <c:pt idx="4">
                  <c:v>I-2016</c:v>
                </c:pt>
                <c:pt idx="5">
                  <c:v>II-2016</c:v>
                </c:pt>
                <c:pt idx="6">
                  <c:v>III-2016</c:v>
                </c:pt>
                <c:pt idx="7">
                  <c:v>IV-2016</c:v>
                </c:pt>
                <c:pt idx="8">
                  <c:v>I-2017</c:v>
                </c:pt>
                <c:pt idx="9">
                  <c:v>II-2017</c:v>
                </c:pt>
                <c:pt idx="10">
                  <c:v>III-2017</c:v>
                </c:pt>
                <c:pt idx="11">
                  <c:v>IV-2017</c:v>
                </c:pt>
                <c:pt idx="12">
                  <c:v>I-2018</c:v>
                </c:pt>
                <c:pt idx="13">
                  <c:v>II-2018</c:v>
                </c:pt>
                <c:pt idx="14">
                  <c:v>III-2018</c:v>
                </c:pt>
                <c:pt idx="15">
                  <c:v>IV-2018</c:v>
                </c:pt>
                <c:pt idx="16">
                  <c:v>I-2019</c:v>
                </c:pt>
                <c:pt idx="17">
                  <c:v>II-2019</c:v>
                </c:pt>
                <c:pt idx="18">
                  <c:v>III-2019</c:v>
                </c:pt>
                <c:pt idx="19">
                  <c:v>IV-2019</c:v>
                </c:pt>
                <c:pt idx="20">
                  <c:v>I-2020</c:v>
                </c:pt>
                <c:pt idx="21">
                  <c:v>II-2020</c:v>
                </c:pt>
                <c:pt idx="22">
                  <c:v>III-2020</c:v>
                </c:pt>
                <c:pt idx="23">
                  <c:v>IV-2020</c:v>
                </c:pt>
                <c:pt idx="24">
                  <c:v>I-2021</c:v>
                </c:pt>
                <c:pt idx="25">
                  <c:v>II-2021</c:v>
                </c:pt>
                <c:pt idx="26">
                  <c:v>III-2021</c:v>
                </c:pt>
                <c:pt idx="27">
                  <c:v>IV-2021</c:v>
                </c:pt>
                <c:pt idx="28">
                  <c:v>I-2022</c:v>
                </c:pt>
                <c:pt idx="29">
                  <c:v>II-2022</c:v>
                </c:pt>
                <c:pt idx="30">
                  <c:v>III-2022</c:v>
                </c:pt>
                <c:pt idx="31">
                  <c:v>IV-2022</c:v>
                </c:pt>
                <c:pt idx="32">
                  <c:v>I-2023</c:v>
                </c:pt>
                <c:pt idx="33">
                  <c:v>II-2023</c:v>
                </c:pt>
              </c:strCache>
            </c:strRef>
          </c:cat>
          <c:val>
            <c:numRef>
              <c:f>Gráficos!$C$35:$AJ$35</c:f>
              <c:numCache>
                <c:formatCode>_-"$"\ * #,##0_-;\-"$"\ * #,##0_-;_-"$"\ * "-"??_-;_-@_-</c:formatCode>
                <c:ptCount val="34"/>
                <c:pt idx="0">
                  <c:v>348712.20111679262</c:v>
                </c:pt>
                <c:pt idx="1">
                  <c:v>339536.32306967396</c:v>
                </c:pt>
                <c:pt idx="2">
                  <c:v>384935.31823732989</c:v>
                </c:pt>
                <c:pt idx="3">
                  <c:v>362184.08018435852</c:v>
                </c:pt>
                <c:pt idx="4">
                  <c:v>372189.90987417701</c:v>
                </c:pt>
                <c:pt idx="5">
                  <c:v>351439.70481773623</c:v>
                </c:pt>
                <c:pt idx="6">
                  <c:v>361846.49011328281</c:v>
                </c:pt>
                <c:pt idx="7">
                  <c:v>349766.51663401158</c:v>
                </c:pt>
                <c:pt idx="8">
                  <c:v>349055.8258333116</c:v>
                </c:pt>
                <c:pt idx="9">
                  <c:v>363280.06173018541</c:v>
                </c:pt>
                <c:pt idx="10">
                  <c:v>368705.57314453571</c:v>
                </c:pt>
                <c:pt idx="11">
                  <c:v>354105.2748458354</c:v>
                </c:pt>
                <c:pt idx="12">
                  <c:v>357021.5873305549</c:v>
                </c:pt>
                <c:pt idx="13">
                  <c:v>351616.3941757257</c:v>
                </c:pt>
                <c:pt idx="14">
                  <c:v>338040.22480380797</c:v>
                </c:pt>
                <c:pt idx="15">
                  <c:v>334359.92544194136</c:v>
                </c:pt>
                <c:pt idx="16">
                  <c:v>324818.10704406683</c:v>
                </c:pt>
                <c:pt idx="17">
                  <c:v>330512.19892651</c:v>
                </c:pt>
                <c:pt idx="18">
                  <c:v>314032.34363233257</c:v>
                </c:pt>
                <c:pt idx="19">
                  <c:v>302880.38854804024</c:v>
                </c:pt>
                <c:pt idx="20">
                  <c:v>296596.67101197195</c:v>
                </c:pt>
                <c:pt idx="21">
                  <c:v>291478.42989080015</c:v>
                </c:pt>
                <c:pt idx="22">
                  <c:v>292645.50751592935</c:v>
                </c:pt>
                <c:pt idx="23">
                  <c:v>276645.75782716769</c:v>
                </c:pt>
                <c:pt idx="24">
                  <c:v>257016.03633609129</c:v>
                </c:pt>
                <c:pt idx="25">
                  <c:v>254151.54660353219</c:v>
                </c:pt>
                <c:pt idx="26">
                  <c:v>257983.88236742048</c:v>
                </c:pt>
                <c:pt idx="27">
                  <c:v>264831.39120628277</c:v>
                </c:pt>
                <c:pt idx="28">
                  <c:v>255650.82012011585</c:v>
                </c:pt>
                <c:pt idx="29">
                  <c:v>271308.48106911423</c:v>
                </c:pt>
                <c:pt idx="30">
                  <c:v>260952.74676717041</c:v>
                </c:pt>
                <c:pt idx="31">
                  <c:v>274691.62280277745</c:v>
                </c:pt>
                <c:pt idx="32">
                  <c:v>280644.5832296614</c:v>
                </c:pt>
                <c:pt idx="33">
                  <c:v>306028</c:v>
                </c:pt>
              </c:numCache>
            </c:numRef>
          </c:val>
          <c:smooth val="1"/>
          <c:extLst>
            <c:ext xmlns:c16="http://schemas.microsoft.com/office/drawing/2014/chart" uri="{C3380CC4-5D6E-409C-BE32-E72D297353CC}">
              <c16:uniqueId val="{00000002-F578-42CC-89CA-1A6F159FC84B}"/>
            </c:ext>
          </c:extLst>
        </c:ser>
        <c:ser>
          <c:idx val="1"/>
          <c:order val="1"/>
          <c:tx>
            <c:strRef>
              <c:f>Gráficos!$B$36</c:f>
              <c:strCache>
                <c:ptCount val="1"/>
                <c:pt idx="0">
                  <c:v>ANSES</c:v>
                </c:pt>
              </c:strCache>
            </c:strRef>
          </c:tx>
          <c:spPr>
            <a:ln w="28575" cap="rnd">
              <a:solidFill>
                <a:schemeClr val="accent2"/>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78-42CC-89CA-1A6F159FC84B}"/>
                </c:ext>
              </c:extLst>
            </c:dLbl>
            <c:dLbl>
              <c:idx val="33"/>
              <c:layout>
                <c:manualLayout>
                  <c:x val="-9.7968814504249338E-3"/>
                  <c:y val="5.6030183727034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78-42CC-89CA-1A6F159FC84B}"/>
                </c:ext>
              </c:extLst>
            </c:dLbl>
            <c:spPr>
              <a:solidFill>
                <a:schemeClr val="lt1"/>
              </a:solidFill>
              <a:ln w="12700" cap="flat" cmpd="sng" algn="ctr">
                <a:solidFill>
                  <a:schemeClr val="accent2"/>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AR"/>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Gráficos!$C$34:$AJ$34</c:f>
              <c:strCache>
                <c:ptCount val="34"/>
                <c:pt idx="0">
                  <c:v>I-2015</c:v>
                </c:pt>
                <c:pt idx="1">
                  <c:v>II-2015</c:v>
                </c:pt>
                <c:pt idx="2">
                  <c:v>III-2015</c:v>
                </c:pt>
                <c:pt idx="3">
                  <c:v>IV-2015</c:v>
                </c:pt>
                <c:pt idx="4">
                  <c:v>I-2016</c:v>
                </c:pt>
                <c:pt idx="5">
                  <c:v>II-2016</c:v>
                </c:pt>
                <c:pt idx="6">
                  <c:v>III-2016</c:v>
                </c:pt>
                <c:pt idx="7">
                  <c:v>IV-2016</c:v>
                </c:pt>
                <c:pt idx="8">
                  <c:v>I-2017</c:v>
                </c:pt>
                <c:pt idx="9">
                  <c:v>II-2017</c:v>
                </c:pt>
                <c:pt idx="10">
                  <c:v>III-2017</c:v>
                </c:pt>
                <c:pt idx="11">
                  <c:v>IV-2017</c:v>
                </c:pt>
                <c:pt idx="12">
                  <c:v>I-2018</c:v>
                </c:pt>
                <c:pt idx="13">
                  <c:v>II-2018</c:v>
                </c:pt>
                <c:pt idx="14">
                  <c:v>III-2018</c:v>
                </c:pt>
                <c:pt idx="15">
                  <c:v>IV-2018</c:v>
                </c:pt>
                <c:pt idx="16">
                  <c:v>I-2019</c:v>
                </c:pt>
                <c:pt idx="17">
                  <c:v>II-2019</c:v>
                </c:pt>
                <c:pt idx="18">
                  <c:v>III-2019</c:v>
                </c:pt>
                <c:pt idx="19">
                  <c:v>IV-2019</c:v>
                </c:pt>
                <c:pt idx="20">
                  <c:v>I-2020</c:v>
                </c:pt>
                <c:pt idx="21">
                  <c:v>II-2020</c:v>
                </c:pt>
                <c:pt idx="22">
                  <c:v>III-2020</c:v>
                </c:pt>
                <c:pt idx="23">
                  <c:v>IV-2020</c:v>
                </c:pt>
                <c:pt idx="24">
                  <c:v>I-2021</c:v>
                </c:pt>
                <c:pt idx="25">
                  <c:v>II-2021</c:v>
                </c:pt>
                <c:pt idx="26">
                  <c:v>III-2021</c:v>
                </c:pt>
                <c:pt idx="27">
                  <c:v>IV-2021</c:v>
                </c:pt>
                <c:pt idx="28">
                  <c:v>I-2022</c:v>
                </c:pt>
                <c:pt idx="29">
                  <c:v>II-2022</c:v>
                </c:pt>
                <c:pt idx="30">
                  <c:v>III-2022</c:v>
                </c:pt>
                <c:pt idx="31">
                  <c:v>IV-2022</c:v>
                </c:pt>
                <c:pt idx="32">
                  <c:v>I-2023</c:v>
                </c:pt>
                <c:pt idx="33">
                  <c:v>II-2023</c:v>
                </c:pt>
              </c:strCache>
            </c:strRef>
          </c:cat>
          <c:val>
            <c:numRef>
              <c:f>Gráficos!$C$36:$AJ$36</c:f>
              <c:numCache>
                <c:formatCode>_-"$"\ * #,##0_-;\-"$"\ * #,##0_-;_-"$"\ * "-"??_-;_-@_-</c:formatCode>
                <c:ptCount val="34"/>
                <c:pt idx="0">
                  <c:v>143222.27156716396</c:v>
                </c:pt>
                <c:pt idx="1">
                  <c:v>136925.62684737085</c:v>
                </c:pt>
                <c:pt idx="2">
                  <c:v>146162.95058122746</c:v>
                </c:pt>
                <c:pt idx="3">
                  <c:v>134046.54262968808</c:v>
                </c:pt>
                <c:pt idx="4">
                  <c:v>141146.64494489087</c:v>
                </c:pt>
                <c:pt idx="5">
                  <c:v>125718.81174747934</c:v>
                </c:pt>
                <c:pt idx="6">
                  <c:v>138344.49904836234</c:v>
                </c:pt>
                <c:pt idx="7">
                  <c:v>131335.76718694586</c:v>
                </c:pt>
                <c:pt idx="8">
                  <c:v>138187.9553788708</c:v>
                </c:pt>
                <c:pt idx="9">
                  <c:v>132171.44164938355</c:v>
                </c:pt>
                <c:pt idx="10">
                  <c:v>142632.30251786395</c:v>
                </c:pt>
                <c:pt idx="11">
                  <c:v>133906.96515717095</c:v>
                </c:pt>
                <c:pt idx="12">
                  <c:v>132663.55770424131</c:v>
                </c:pt>
                <c:pt idx="13">
                  <c:v>129201.74032240691</c:v>
                </c:pt>
                <c:pt idx="14">
                  <c:v>121666.7652177751</c:v>
                </c:pt>
                <c:pt idx="15">
                  <c:v>117374.53799525501</c:v>
                </c:pt>
                <c:pt idx="16">
                  <c:v>117170.21741747565</c:v>
                </c:pt>
                <c:pt idx="17">
                  <c:v>119420.07518421001</c:v>
                </c:pt>
                <c:pt idx="18">
                  <c:v>119378.57776258011</c:v>
                </c:pt>
                <c:pt idx="19">
                  <c:v>116787.10086799991</c:v>
                </c:pt>
                <c:pt idx="20">
                  <c:v>110138.83615519243</c:v>
                </c:pt>
                <c:pt idx="21">
                  <c:v>112915.27688018129</c:v>
                </c:pt>
                <c:pt idx="22">
                  <c:v>114334.15410630408</c:v>
                </c:pt>
                <c:pt idx="23">
                  <c:v>107541.00456093058</c:v>
                </c:pt>
                <c:pt idx="24">
                  <c:v>101695.96051379872</c:v>
                </c:pt>
                <c:pt idx="25">
                  <c:v>102633.89262076217</c:v>
                </c:pt>
                <c:pt idx="26">
                  <c:v>106848.28769653193</c:v>
                </c:pt>
                <c:pt idx="27">
                  <c:v>109552.90218502251</c:v>
                </c:pt>
                <c:pt idx="28">
                  <c:v>105961.01455728633</c:v>
                </c:pt>
                <c:pt idx="29">
                  <c:v>104777.39588964841</c:v>
                </c:pt>
                <c:pt idx="30">
                  <c:v>102522.67614903563</c:v>
                </c:pt>
                <c:pt idx="31">
                  <c:v>100709.96710866764</c:v>
                </c:pt>
                <c:pt idx="32">
                  <c:v>97237.483267119576</c:v>
                </c:pt>
                <c:pt idx="33">
                  <c:v>106543.56688506657</c:v>
                </c:pt>
              </c:numCache>
            </c:numRef>
          </c:val>
          <c:smooth val="1"/>
          <c:extLst>
            <c:ext xmlns:c16="http://schemas.microsoft.com/office/drawing/2014/chart" uri="{C3380CC4-5D6E-409C-BE32-E72D297353CC}">
              <c16:uniqueId val="{00000005-F578-42CC-89CA-1A6F159FC84B}"/>
            </c:ext>
          </c:extLst>
        </c:ser>
        <c:ser>
          <c:idx val="2"/>
          <c:order val="2"/>
          <c:tx>
            <c:strRef>
              <c:f>Gráficos!$B$37</c:f>
              <c:strCache>
                <c:ptCount val="1"/>
                <c:pt idx="0">
                  <c:v>Cajas Profesionales</c:v>
                </c:pt>
              </c:strCache>
            </c:strRef>
          </c:tx>
          <c:spPr>
            <a:ln w="28575" cap="rnd">
              <a:solidFill>
                <a:schemeClr val="accent3"/>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78-42CC-89CA-1A6F159FC84B}"/>
                </c:ext>
              </c:extLst>
            </c:dLbl>
            <c:dLbl>
              <c:idx val="33"/>
              <c:layout>
                <c:manualLayout>
                  <c:x val="-1.2201883855427163E-2"/>
                  <c:y val="-5.6030183727034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78-42CC-89CA-1A6F159FC84B}"/>
                </c:ext>
              </c:extLst>
            </c:dLbl>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A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Gráficos!$C$34:$AJ$34</c:f>
              <c:strCache>
                <c:ptCount val="34"/>
                <c:pt idx="0">
                  <c:v>I-2015</c:v>
                </c:pt>
                <c:pt idx="1">
                  <c:v>II-2015</c:v>
                </c:pt>
                <c:pt idx="2">
                  <c:v>III-2015</c:v>
                </c:pt>
                <c:pt idx="3">
                  <c:v>IV-2015</c:v>
                </c:pt>
                <c:pt idx="4">
                  <c:v>I-2016</c:v>
                </c:pt>
                <c:pt idx="5">
                  <c:v>II-2016</c:v>
                </c:pt>
                <c:pt idx="6">
                  <c:v>III-2016</c:v>
                </c:pt>
                <c:pt idx="7">
                  <c:v>IV-2016</c:v>
                </c:pt>
                <c:pt idx="8">
                  <c:v>I-2017</c:v>
                </c:pt>
                <c:pt idx="9">
                  <c:v>II-2017</c:v>
                </c:pt>
                <c:pt idx="10">
                  <c:v>III-2017</c:v>
                </c:pt>
                <c:pt idx="11">
                  <c:v>IV-2017</c:v>
                </c:pt>
                <c:pt idx="12">
                  <c:v>I-2018</c:v>
                </c:pt>
                <c:pt idx="13">
                  <c:v>II-2018</c:v>
                </c:pt>
                <c:pt idx="14">
                  <c:v>III-2018</c:v>
                </c:pt>
                <c:pt idx="15">
                  <c:v>IV-2018</c:v>
                </c:pt>
                <c:pt idx="16">
                  <c:v>I-2019</c:v>
                </c:pt>
                <c:pt idx="17">
                  <c:v>II-2019</c:v>
                </c:pt>
                <c:pt idx="18">
                  <c:v>III-2019</c:v>
                </c:pt>
                <c:pt idx="19">
                  <c:v>IV-2019</c:v>
                </c:pt>
                <c:pt idx="20">
                  <c:v>I-2020</c:v>
                </c:pt>
                <c:pt idx="21">
                  <c:v>II-2020</c:v>
                </c:pt>
                <c:pt idx="22">
                  <c:v>III-2020</c:v>
                </c:pt>
                <c:pt idx="23">
                  <c:v>IV-2020</c:v>
                </c:pt>
                <c:pt idx="24">
                  <c:v>I-2021</c:v>
                </c:pt>
                <c:pt idx="25">
                  <c:v>II-2021</c:v>
                </c:pt>
                <c:pt idx="26">
                  <c:v>III-2021</c:v>
                </c:pt>
                <c:pt idx="27">
                  <c:v>IV-2021</c:v>
                </c:pt>
                <c:pt idx="28">
                  <c:v>I-2022</c:v>
                </c:pt>
                <c:pt idx="29">
                  <c:v>II-2022</c:v>
                </c:pt>
                <c:pt idx="30">
                  <c:v>III-2022</c:v>
                </c:pt>
                <c:pt idx="31">
                  <c:v>IV-2022</c:v>
                </c:pt>
                <c:pt idx="32">
                  <c:v>I-2023</c:v>
                </c:pt>
                <c:pt idx="33">
                  <c:v>II-2023</c:v>
                </c:pt>
              </c:strCache>
            </c:strRef>
          </c:cat>
          <c:val>
            <c:numRef>
              <c:f>Gráficos!$C$37:$AJ$37</c:f>
              <c:numCache>
                <c:formatCode>_-"$"\ * #,##0_-;\-"$"\ * #,##0_-;_-"$"\ * "-"??_-;_-@_-</c:formatCode>
                <c:ptCount val="34"/>
                <c:pt idx="0">
                  <c:v>154165.9214970672</c:v>
                </c:pt>
                <c:pt idx="1">
                  <c:v>151077.3370274379</c:v>
                </c:pt>
                <c:pt idx="2">
                  <c:v>159377.94977246987</c:v>
                </c:pt>
                <c:pt idx="3">
                  <c:v>151396.83708939148</c:v>
                </c:pt>
                <c:pt idx="4">
                  <c:v>163712.6179494354</c:v>
                </c:pt>
                <c:pt idx="5">
                  <c:v>156578.46391912166</c:v>
                </c:pt>
                <c:pt idx="6">
                  <c:v>155934.26543861398</c:v>
                </c:pt>
                <c:pt idx="7">
                  <c:v>154227.46005377953</c:v>
                </c:pt>
                <c:pt idx="8">
                  <c:v>161010.50978354935</c:v>
                </c:pt>
                <c:pt idx="9">
                  <c:v>160484.38855459166</c:v>
                </c:pt>
                <c:pt idx="10">
                  <c:v>166918.06278149915</c:v>
                </c:pt>
                <c:pt idx="11">
                  <c:v>159560.54483443918</c:v>
                </c:pt>
                <c:pt idx="12">
                  <c:v>163567.27169748209</c:v>
                </c:pt>
                <c:pt idx="13">
                  <c:v>166580.55087053502</c:v>
                </c:pt>
                <c:pt idx="14">
                  <c:v>152818.7891274647</c:v>
                </c:pt>
                <c:pt idx="15">
                  <c:v>144018.6741980848</c:v>
                </c:pt>
                <c:pt idx="16">
                  <c:v>144629.38475467314</c:v>
                </c:pt>
                <c:pt idx="17">
                  <c:v>143031.46808027633</c:v>
                </c:pt>
                <c:pt idx="18">
                  <c:v>147859.46182201145</c:v>
                </c:pt>
                <c:pt idx="19">
                  <c:v>156753.45023239384</c:v>
                </c:pt>
                <c:pt idx="20">
                  <c:v>150694.76297127648</c:v>
                </c:pt>
                <c:pt idx="21">
                  <c:v>146136.0522737572</c:v>
                </c:pt>
                <c:pt idx="22">
                  <c:v>140739.35622185032</c:v>
                </c:pt>
                <c:pt idx="23">
                  <c:v>136275.15947824717</c:v>
                </c:pt>
                <c:pt idx="24">
                  <c:v>131484.47871298585</c:v>
                </c:pt>
                <c:pt idx="25">
                  <c:v>122204.33840723753</c:v>
                </c:pt>
                <c:pt idx="26">
                  <c:v>131408.78172377386</c:v>
                </c:pt>
                <c:pt idx="27">
                  <c:v>137064.34004021253</c:v>
                </c:pt>
                <c:pt idx="28">
                  <c:v>122952.82989516701</c:v>
                </c:pt>
                <c:pt idx="29">
                  <c:v>117157.27134562876</c:v>
                </c:pt>
                <c:pt idx="30">
                  <c:v>137105.7599320281</c:v>
                </c:pt>
                <c:pt idx="31">
                  <c:v>143691.35360237284</c:v>
                </c:pt>
                <c:pt idx="32">
                  <c:v>129589.16888524812</c:v>
                </c:pt>
                <c:pt idx="33">
                  <c:v>116923.67823334111</c:v>
                </c:pt>
              </c:numCache>
            </c:numRef>
          </c:val>
          <c:smooth val="1"/>
          <c:extLst>
            <c:ext xmlns:c16="http://schemas.microsoft.com/office/drawing/2014/chart" uri="{C3380CC4-5D6E-409C-BE32-E72D297353CC}">
              <c16:uniqueId val="{00000008-F578-42CC-89CA-1A6F159FC84B}"/>
            </c:ext>
          </c:extLst>
        </c:ser>
        <c:dLbls>
          <c:showLegendKey val="0"/>
          <c:showVal val="0"/>
          <c:showCatName val="0"/>
          <c:showSerName val="0"/>
          <c:showPercent val="0"/>
          <c:showBubbleSize val="0"/>
        </c:dLbls>
        <c:smooth val="0"/>
        <c:axId val="577918552"/>
        <c:axId val="577915312"/>
      </c:lineChart>
      <c:catAx>
        <c:axId val="57791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77915312"/>
        <c:crosses val="autoZero"/>
        <c:auto val="1"/>
        <c:lblAlgn val="ctr"/>
        <c:lblOffset val="100"/>
        <c:noMultiLvlLbl val="0"/>
      </c:catAx>
      <c:valAx>
        <c:axId val="577915312"/>
        <c:scaling>
          <c:orientation val="minMax"/>
        </c:scaling>
        <c:delete val="1"/>
        <c:axPos val="l"/>
        <c:numFmt formatCode="_-&quot;$&quot;\ * #,##0_-;\-&quot;$&quot;\ * #,##0_-;_-&quot;$&quot;\ * &quot;-&quot;??_-;_-@_-" sourceLinked="1"/>
        <c:majorTickMark val="out"/>
        <c:minorTickMark val="none"/>
        <c:tickLblPos val="nextTo"/>
        <c:crossAx val="577918552"/>
        <c:crosses val="autoZero"/>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A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0.44278</cdr:x>
      <cdr:y>0.48056</cdr:y>
    </cdr:from>
    <cdr:to>
      <cdr:x>0.57167</cdr:x>
      <cdr:y>0.4963</cdr:y>
    </cdr:to>
    <cdr:cxnSp macro="">
      <cdr:nvCxnSpPr>
        <cdr:cNvPr id="2" name="Conector recto de flecha 1">
          <a:extLst xmlns:a="http://schemas.openxmlformats.org/drawingml/2006/main">
            <a:ext uri="{FF2B5EF4-FFF2-40B4-BE49-F238E27FC236}">
              <a16:creationId xmlns:a16="http://schemas.microsoft.com/office/drawing/2014/main" id="{397B5ABC-7310-5439-C64E-9CEAFDAEB5BA}"/>
            </a:ext>
          </a:extLst>
        </cdr:cNvPr>
        <cdr:cNvCxnSpPr/>
      </cdr:nvCxnSpPr>
      <cdr:spPr>
        <a:xfrm xmlns:a="http://schemas.openxmlformats.org/drawingml/2006/main" flipV="1">
          <a:off x="2024380" y="1318260"/>
          <a:ext cx="589280" cy="4318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0.43</cdr:x>
      <cdr:y>0.22685</cdr:y>
    </cdr:from>
    <cdr:to>
      <cdr:x>0.56278</cdr:x>
      <cdr:y>0.28056</cdr:y>
    </cdr:to>
    <cdr:cxnSp macro="">
      <cdr:nvCxnSpPr>
        <cdr:cNvPr id="3" name="Conector recto de flecha 2">
          <a:extLst xmlns:a="http://schemas.openxmlformats.org/drawingml/2006/main">
            <a:ext uri="{FF2B5EF4-FFF2-40B4-BE49-F238E27FC236}">
              <a16:creationId xmlns:a16="http://schemas.microsoft.com/office/drawing/2014/main" id="{397B5ABC-7310-5439-C64E-9CEAFDAEB5BA}"/>
            </a:ext>
          </a:extLst>
        </cdr:cNvPr>
        <cdr:cNvCxnSpPr/>
      </cdr:nvCxnSpPr>
      <cdr:spPr>
        <a:xfrm xmlns:a="http://schemas.openxmlformats.org/drawingml/2006/main" flipV="1">
          <a:off x="1965960" y="622300"/>
          <a:ext cx="607060" cy="1473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0.43111</cdr:x>
      <cdr:y>0.13611</cdr:y>
    </cdr:from>
    <cdr:to>
      <cdr:x>0.56167</cdr:x>
      <cdr:y>0.15741</cdr:y>
    </cdr:to>
    <cdr:cxnSp macro="">
      <cdr:nvCxnSpPr>
        <cdr:cNvPr id="4" name="Conector recto de flecha 3">
          <a:extLst xmlns:a="http://schemas.openxmlformats.org/drawingml/2006/main">
            <a:ext uri="{FF2B5EF4-FFF2-40B4-BE49-F238E27FC236}">
              <a16:creationId xmlns:a16="http://schemas.microsoft.com/office/drawing/2014/main" id="{7B16E191-9DCD-A081-184E-A3CC1FCFC4DE}"/>
            </a:ext>
          </a:extLst>
        </cdr:cNvPr>
        <cdr:cNvCxnSpPr/>
      </cdr:nvCxnSpPr>
      <cdr:spPr>
        <a:xfrm xmlns:a="http://schemas.openxmlformats.org/drawingml/2006/main" flipV="1">
          <a:off x="1971040" y="373380"/>
          <a:ext cx="596900" cy="584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4"/>
        </a:lnRef>
        <a:fillRef xmlns:a="http://schemas.openxmlformats.org/drawingml/2006/main" idx="0">
          <a:schemeClr val="accent4"/>
        </a:fillRef>
        <a:effectRef xmlns:a="http://schemas.openxmlformats.org/drawingml/2006/main" idx="0">
          <a:schemeClr val="accent4"/>
        </a:effectRef>
        <a:fontRef xmlns:a="http://schemas.openxmlformats.org/drawingml/2006/main" idx="minor">
          <a:schemeClr val="tx1"/>
        </a:fontRef>
      </cdr:style>
    </cdr:cxnSp>
  </cdr:relSizeAnchor>
  <cdr:relSizeAnchor xmlns:cdr="http://schemas.openxmlformats.org/drawingml/2006/chartDrawing">
    <cdr:from>
      <cdr:x>0.40944</cdr:x>
      <cdr:y>0.04074</cdr:y>
    </cdr:from>
    <cdr:to>
      <cdr:x>0.5625</cdr:x>
      <cdr:y>0.10923</cdr:y>
    </cdr:to>
    <cdr:sp macro="" textlink="">
      <cdr:nvSpPr>
        <cdr:cNvPr id="5" name="CuadroTexto 3">
          <a:extLst xmlns:a="http://schemas.openxmlformats.org/drawingml/2006/main">
            <a:ext uri="{FF2B5EF4-FFF2-40B4-BE49-F238E27FC236}">
              <a16:creationId xmlns:a16="http://schemas.microsoft.com/office/drawing/2014/main" id="{409DA294-55DD-49B3-D075-2D5159D850B1}"/>
            </a:ext>
          </a:extLst>
        </cdr:cNvPr>
        <cdr:cNvSpPr txBox="1"/>
      </cdr:nvSpPr>
      <cdr:spPr>
        <a:xfrm xmlns:a="http://schemas.openxmlformats.org/drawingml/2006/main">
          <a:off x="1871980" y="11176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4"/>
              </a:solidFill>
              <a:effectLst/>
              <a:ea typeface="Times New Roman" panose="02020603050405020304" pitchFamily="18" charset="0"/>
              <a:cs typeface="Times New Roman" panose="02020603050405020304" pitchFamily="18" charset="0"/>
            </a:rPr>
            <a:t>+15%</a:t>
          </a:r>
          <a:endParaRPr lang="es-AR" sz="1050">
            <a:solidFill>
              <a:schemeClr val="accent4"/>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0.40944</cdr:x>
      <cdr:y>0.16852</cdr:y>
    </cdr:from>
    <cdr:to>
      <cdr:x>0.5625</cdr:x>
      <cdr:y>0.237</cdr:y>
    </cdr:to>
    <cdr:sp macro="" textlink="">
      <cdr:nvSpPr>
        <cdr:cNvPr id="6" name="CuadroTexto 3">
          <a:extLst xmlns:a="http://schemas.openxmlformats.org/drawingml/2006/main">
            <a:ext uri="{FF2B5EF4-FFF2-40B4-BE49-F238E27FC236}">
              <a16:creationId xmlns:a16="http://schemas.microsoft.com/office/drawing/2014/main" id="{322C23F0-4E40-A6FF-0BCF-94B7E9C73CD9}"/>
            </a:ext>
          </a:extLst>
        </cdr:cNvPr>
        <cdr:cNvSpPr txBox="1"/>
      </cdr:nvSpPr>
      <cdr:spPr>
        <a:xfrm xmlns:a="http://schemas.openxmlformats.org/drawingml/2006/main">
          <a:off x="1871980" y="46228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3"/>
              </a:solidFill>
              <a:effectLst/>
              <a:ea typeface="Times New Roman" panose="02020603050405020304" pitchFamily="18" charset="0"/>
              <a:cs typeface="Times New Roman" panose="02020603050405020304" pitchFamily="18" charset="0"/>
            </a:rPr>
            <a:t>+50%</a:t>
          </a:r>
          <a:endParaRPr lang="es-AR" sz="1050">
            <a:solidFill>
              <a:schemeClr val="accent3"/>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0.41278</cdr:x>
      <cdr:y>0.39352</cdr:y>
    </cdr:from>
    <cdr:to>
      <cdr:x>0.56583</cdr:x>
      <cdr:y>0.462</cdr:y>
    </cdr:to>
    <cdr:sp macro="" textlink="">
      <cdr:nvSpPr>
        <cdr:cNvPr id="7" name="CuadroTexto 3">
          <a:extLst xmlns:a="http://schemas.openxmlformats.org/drawingml/2006/main">
            <a:ext uri="{FF2B5EF4-FFF2-40B4-BE49-F238E27FC236}">
              <a16:creationId xmlns:a16="http://schemas.microsoft.com/office/drawing/2014/main" id="{322C23F0-4E40-A6FF-0BCF-94B7E9C73CD9}"/>
            </a:ext>
          </a:extLst>
        </cdr:cNvPr>
        <cdr:cNvSpPr txBox="1"/>
      </cdr:nvSpPr>
      <cdr:spPr>
        <a:xfrm xmlns:a="http://schemas.openxmlformats.org/drawingml/2006/main">
          <a:off x="1887220" y="107950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2"/>
              </a:solidFill>
              <a:effectLst/>
              <a:ea typeface="Times New Roman" panose="02020603050405020304" pitchFamily="18" charset="0"/>
              <a:cs typeface="Times New Roman" panose="02020603050405020304" pitchFamily="18" charset="0"/>
            </a:rPr>
            <a:t>+14%</a:t>
          </a:r>
          <a:endParaRPr lang="es-AR" sz="1050">
            <a:solidFill>
              <a:schemeClr val="accent2"/>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0.41778</cdr:x>
      <cdr:y>0.6213</cdr:y>
    </cdr:from>
    <cdr:to>
      <cdr:x>0.57083</cdr:x>
      <cdr:y>0.68978</cdr:y>
    </cdr:to>
    <cdr:sp macro="" textlink="">
      <cdr:nvSpPr>
        <cdr:cNvPr id="8" name="CuadroTexto 3">
          <a:extLst xmlns:a="http://schemas.openxmlformats.org/drawingml/2006/main">
            <a:ext uri="{FF2B5EF4-FFF2-40B4-BE49-F238E27FC236}">
              <a16:creationId xmlns:a16="http://schemas.microsoft.com/office/drawing/2014/main" id="{322C23F0-4E40-A6FF-0BCF-94B7E9C73CD9}"/>
            </a:ext>
          </a:extLst>
        </cdr:cNvPr>
        <cdr:cNvSpPr txBox="1"/>
      </cdr:nvSpPr>
      <cdr:spPr>
        <a:xfrm xmlns:a="http://schemas.openxmlformats.org/drawingml/2006/main">
          <a:off x="1910080" y="170434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1"/>
              </a:solidFill>
              <a:effectLst/>
              <a:ea typeface="Times New Roman" panose="02020603050405020304" pitchFamily="18" charset="0"/>
              <a:cs typeface="Times New Roman" panose="02020603050405020304" pitchFamily="18" charset="0"/>
            </a:rPr>
            <a:t>+16%</a:t>
          </a:r>
          <a:endParaRPr lang="es-AR" sz="1050">
            <a:solidFill>
              <a:schemeClr val="accent1"/>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0.43778</cdr:x>
      <cdr:y>0.70278</cdr:y>
    </cdr:from>
    <cdr:to>
      <cdr:x>0.57167</cdr:x>
      <cdr:y>0.71852</cdr:y>
    </cdr:to>
    <cdr:cxnSp macro="">
      <cdr:nvCxnSpPr>
        <cdr:cNvPr id="9" name="Conector recto de flecha 8">
          <a:extLst xmlns:a="http://schemas.openxmlformats.org/drawingml/2006/main">
            <a:ext uri="{FF2B5EF4-FFF2-40B4-BE49-F238E27FC236}">
              <a16:creationId xmlns:a16="http://schemas.microsoft.com/office/drawing/2014/main" id="{397B5ABC-7310-5439-C64E-9CEAFDAEB5BA}"/>
            </a:ext>
          </a:extLst>
        </cdr:cNvPr>
        <cdr:cNvCxnSpPr/>
      </cdr:nvCxnSpPr>
      <cdr:spPr>
        <a:xfrm xmlns:a="http://schemas.openxmlformats.org/drawingml/2006/main" flipV="1">
          <a:off x="2001520" y="1927860"/>
          <a:ext cx="612140" cy="4318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0.29685</cdr:x>
      <cdr:y>0.04444</cdr:y>
    </cdr:from>
    <cdr:to>
      <cdr:x>0.29685</cdr:x>
      <cdr:y>0.81872</cdr:y>
    </cdr:to>
    <cdr:cxnSp macro="">
      <cdr:nvCxnSpPr>
        <cdr:cNvPr id="3" name="Conector recto 2">
          <a:extLst xmlns:a="http://schemas.openxmlformats.org/drawingml/2006/main">
            <a:ext uri="{FF2B5EF4-FFF2-40B4-BE49-F238E27FC236}">
              <a16:creationId xmlns:a16="http://schemas.microsoft.com/office/drawing/2014/main" id="{31C41C84-BBC2-D2E7-B40E-F850EE4E08EF}"/>
            </a:ext>
          </a:extLst>
        </cdr:cNvPr>
        <cdr:cNvCxnSpPr/>
      </cdr:nvCxnSpPr>
      <cdr:spPr>
        <a:xfrm xmlns:a="http://schemas.openxmlformats.org/drawingml/2006/main" flipH="1">
          <a:off x="1529114" y="121920"/>
          <a:ext cx="0" cy="2124005"/>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cdr:x>
      <cdr:y>0.20278</cdr:y>
    </cdr:from>
    <cdr:to>
      <cdr:x>0.96333</cdr:x>
      <cdr:y>0.49167</cdr:y>
    </cdr:to>
    <cdr:sp macro="" textlink="">
      <cdr:nvSpPr>
        <cdr:cNvPr id="4" name="CuadroTexto 3">
          <a:extLst xmlns:a="http://schemas.openxmlformats.org/drawingml/2006/main">
            <a:ext uri="{FF2B5EF4-FFF2-40B4-BE49-F238E27FC236}">
              <a16:creationId xmlns:a16="http://schemas.microsoft.com/office/drawing/2014/main" id="{5B77A54D-B5CE-328B-3D5D-BA6949F3E115}"/>
            </a:ext>
          </a:extLst>
        </cdr:cNvPr>
        <cdr:cNvSpPr txBox="1"/>
      </cdr:nvSpPr>
      <cdr:spPr>
        <a:xfrm xmlns:a="http://schemas.openxmlformats.org/drawingml/2006/main">
          <a:off x="2860243" y="556260"/>
          <a:ext cx="1133030" cy="792489"/>
        </a:xfrm>
        <a:prstGeom xmlns:a="http://schemas.openxmlformats.org/drawingml/2006/main" prst="rect">
          <a:avLst/>
        </a:prstGeom>
        <a:ln xmlns:a="http://schemas.openxmlformats.org/drawingml/2006/main" w="19050">
          <a:solidFill>
            <a:schemeClr val="accent2"/>
          </a:solidFill>
        </a:ln>
      </cdr:spPr>
      <cdr:txBody>
        <a:bodyPr xmlns:a="http://schemas.openxmlformats.org/drawingml/2006/main" vertOverflow="clip" wrap="square" rtlCol="0" anchor="ctr"/>
        <a:lstStyle xmlns:a="http://schemas.openxmlformats.org/drawingml/2006/main"/>
        <a:p xmlns:a="http://schemas.openxmlformats.org/drawingml/2006/main">
          <a:pPr algn="ctr"/>
          <a:r>
            <a:rPr lang="es-AR" sz="1100" b="1"/>
            <a:t>Haber</a:t>
          </a:r>
          <a:r>
            <a:rPr lang="es-AR" sz="1100" b="1" baseline="0"/>
            <a:t> Jubilatorio prom. Prov. de Cba.: $138.740</a:t>
          </a:r>
          <a:endParaRPr lang="es-AR"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0.7598</cdr:x>
      <cdr:y>0.04236</cdr:y>
    </cdr:from>
    <cdr:to>
      <cdr:x>0.87349</cdr:x>
      <cdr:y>0.20806</cdr:y>
    </cdr:to>
    <cdr:sp macro="" textlink="">
      <cdr:nvSpPr>
        <cdr:cNvPr id="2" name="Forma 1">
          <a:extLst xmlns:a="http://schemas.openxmlformats.org/drawingml/2006/main">
            <a:ext uri="{FF2B5EF4-FFF2-40B4-BE49-F238E27FC236}">
              <a16:creationId xmlns:a16="http://schemas.microsoft.com/office/drawing/2014/main" id="{00000000-0008-0000-0200-00000C000000}"/>
            </a:ext>
          </a:extLst>
        </cdr:cNvPr>
        <cdr:cNvSpPr/>
      </cdr:nvSpPr>
      <cdr:spPr>
        <a:xfrm xmlns:a="http://schemas.openxmlformats.org/drawingml/2006/main" rot="3978246">
          <a:off x="4085141" y="43282"/>
          <a:ext cx="454549" cy="600363"/>
        </a:xfrm>
        <a:prstGeom xmlns:a="http://schemas.openxmlformats.org/drawingml/2006/main" prst="swooshArrow">
          <a:avLst>
            <a:gd name="adj1" fmla="val 15633"/>
            <a:gd name="adj2" fmla="val 31370"/>
          </a:avLst>
        </a:prstGeom>
        <a:solidFill xmlns:a="http://schemas.openxmlformats.org/drawingml/2006/main">
          <a:schemeClr val="accent1">
            <a:lumMod val="75000"/>
          </a:schemeClr>
        </a:solidFill>
        <a:ln xmlns:a="http://schemas.openxmlformats.org/drawingml/2006/main">
          <a:noFill/>
        </a:ln>
        <a:scene3d xmlns:a="http://schemas.openxmlformats.org/drawingml/2006/main">
          <a:camera prst="orthographicFront">
            <a:rot lat="0" lon="0" rev="0"/>
          </a:camera>
          <a:lightRig rig="threePt" dir="t"/>
        </a:scene3d>
      </cdr:spPr>
      <cdr:style>
        <a:lnRef xmlns:a="http://schemas.openxmlformats.org/drawingml/2006/main" idx="2">
          <a:schemeClr val="lt1">
            <a:hueOff val="0"/>
            <a:satOff val="0"/>
            <a:lumOff val="0"/>
            <a:alphaOff val="0"/>
          </a:schemeClr>
        </a:lnRef>
        <a:fillRef xmlns:a="http://schemas.openxmlformats.org/drawingml/2006/main" idx="1">
          <a:schemeClr val="accent1">
            <a:hueOff val="0"/>
            <a:satOff val="0"/>
            <a:lumOff val="0"/>
            <a:alphaOff val="0"/>
          </a:schemeClr>
        </a:fillRef>
        <a:effectRef xmlns:a="http://schemas.openxmlformats.org/drawingml/2006/main" idx="0">
          <a:schemeClr val="accent1">
            <a:hueOff val="0"/>
            <a:satOff val="0"/>
            <a:lumOff val="0"/>
            <a:alphaOff val="0"/>
          </a:schemeClr>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endParaRPr lang="es-AR"/>
        </a:p>
      </cdr:txBody>
    </cdr:sp>
  </cdr:relSizeAnchor>
  <cdr:relSizeAnchor xmlns:cdr="http://schemas.openxmlformats.org/drawingml/2006/chartDrawing">
    <cdr:from>
      <cdr:x>0.81724</cdr:x>
      <cdr:y>0.02421</cdr:y>
    </cdr:from>
    <cdr:to>
      <cdr:x>0.9703</cdr:x>
      <cdr:y>0.0927</cdr:y>
    </cdr:to>
    <cdr:sp macro="" textlink="">
      <cdr:nvSpPr>
        <cdr:cNvPr id="3" name="CuadroTexto 3">
          <a:extLst xmlns:a="http://schemas.openxmlformats.org/drawingml/2006/main">
            <a:ext uri="{FF2B5EF4-FFF2-40B4-BE49-F238E27FC236}">
              <a16:creationId xmlns:a16="http://schemas.microsoft.com/office/drawing/2014/main" id="{00000000-0008-0000-0200-000009000000}"/>
            </a:ext>
          </a:extLst>
        </cdr:cNvPr>
        <cdr:cNvSpPr txBox="1"/>
      </cdr:nvSpPr>
      <cdr:spPr>
        <a:xfrm xmlns:a="http://schemas.openxmlformats.org/drawingml/2006/main">
          <a:off x="4315583" y="66404"/>
          <a:ext cx="808257" cy="1878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p xmlns:a="http://schemas.openxmlformats.org/drawingml/2006/main">
          <a:pPr algn="ctr"/>
          <a:r>
            <a:rPr lang="es-AR" sz="1200" b="1" i="1" kern="1200">
              <a:solidFill>
                <a:schemeClr val="accent1">
                  <a:lumMod val="75000"/>
                </a:schemeClr>
              </a:solidFill>
              <a:effectLst/>
              <a:ea typeface="Times New Roman" panose="02020603050405020304" pitchFamily="18" charset="0"/>
              <a:cs typeface="Times New Roman" panose="02020603050405020304" pitchFamily="18" charset="0"/>
            </a:rPr>
            <a:t>-9,9%</a:t>
          </a:r>
          <a:endParaRPr lang="es-AR" sz="1050">
            <a:solidFill>
              <a:schemeClr val="accent1">
                <a:lumMod val="75000"/>
              </a:schemeClr>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0.83218</cdr:x>
      <cdr:y>0.31296</cdr:y>
    </cdr:from>
    <cdr:to>
      <cdr:x>0.98525</cdr:x>
      <cdr:y>0.38145</cdr:y>
    </cdr:to>
    <cdr:sp macro="" textlink="">
      <cdr:nvSpPr>
        <cdr:cNvPr id="4" name="CuadroTexto 3">
          <a:extLst xmlns:a="http://schemas.openxmlformats.org/drawingml/2006/main">
            <a:ext uri="{FF2B5EF4-FFF2-40B4-BE49-F238E27FC236}">
              <a16:creationId xmlns:a16="http://schemas.microsoft.com/office/drawing/2014/main" id="{E7B07CF8-FAB8-BE5F-42A4-E786505E4500}"/>
            </a:ext>
          </a:extLst>
        </cdr:cNvPr>
        <cdr:cNvSpPr txBox="1"/>
      </cdr:nvSpPr>
      <cdr:spPr>
        <a:xfrm xmlns:a="http://schemas.openxmlformats.org/drawingml/2006/main">
          <a:off x="4394486" y="858518"/>
          <a:ext cx="808258" cy="1878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3"/>
              </a:solidFill>
              <a:effectLst/>
              <a:ea typeface="Times New Roman" panose="02020603050405020304" pitchFamily="18" charset="0"/>
              <a:cs typeface="Times New Roman" panose="02020603050405020304" pitchFamily="18" charset="0"/>
            </a:rPr>
            <a:t>-22,6%</a:t>
          </a:r>
          <a:endParaRPr lang="es-AR" sz="1050">
            <a:solidFill>
              <a:schemeClr val="accent3"/>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0.7741</cdr:x>
      <cdr:y>0.35741</cdr:y>
    </cdr:from>
    <cdr:to>
      <cdr:x>0.8981</cdr:x>
      <cdr:y>0.52311</cdr:y>
    </cdr:to>
    <cdr:sp macro="" textlink="">
      <cdr:nvSpPr>
        <cdr:cNvPr id="5" name="Forma 4">
          <a:extLst xmlns:a="http://schemas.openxmlformats.org/drawingml/2006/main">
            <a:ext uri="{FF2B5EF4-FFF2-40B4-BE49-F238E27FC236}">
              <a16:creationId xmlns:a16="http://schemas.microsoft.com/office/drawing/2014/main" id="{54CA5786-F3B3-FFC4-22D1-95C13CDDA26C}"/>
            </a:ext>
          </a:extLst>
        </cdr:cNvPr>
        <cdr:cNvSpPr/>
      </cdr:nvSpPr>
      <cdr:spPr>
        <a:xfrm xmlns:a="http://schemas.openxmlformats.org/drawingml/2006/main" rot="3302256">
          <a:off x="4187870" y="880320"/>
          <a:ext cx="454548" cy="654802"/>
        </a:xfrm>
        <a:prstGeom xmlns:a="http://schemas.openxmlformats.org/drawingml/2006/main" prst="swooshArrow">
          <a:avLst>
            <a:gd name="adj1" fmla="val 15633"/>
            <a:gd name="adj2" fmla="val 31370"/>
          </a:avLst>
        </a:prstGeom>
        <a:solidFill xmlns:a="http://schemas.openxmlformats.org/drawingml/2006/main">
          <a:schemeClr val="accent3"/>
        </a:solidFill>
        <a:ln xmlns:a="http://schemas.openxmlformats.org/drawingml/2006/main">
          <a:noFill/>
        </a:ln>
        <a:scene3d xmlns:a="http://schemas.openxmlformats.org/drawingml/2006/main">
          <a:camera prst="orthographicFront">
            <a:rot lat="0" lon="0" rev="0"/>
          </a:camera>
          <a:lightRig rig="threePt" dir="t"/>
        </a:scene3d>
      </cdr:spPr>
      <cdr:style>
        <a:lnRef xmlns:a="http://schemas.openxmlformats.org/drawingml/2006/main" idx="2">
          <a:schemeClr val="lt1">
            <a:hueOff val="0"/>
            <a:satOff val="0"/>
            <a:lumOff val="0"/>
            <a:alphaOff val="0"/>
          </a:schemeClr>
        </a:lnRef>
        <a:fillRef xmlns:a="http://schemas.openxmlformats.org/drawingml/2006/main" idx="1">
          <a:schemeClr val="accent1">
            <a:hueOff val="0"/>
            <a:satOff val="0"/>
            <a:lumOff val="0"/>
            <a:alphaOff val="0"/>
          </a:schemeClr>
        </a:fillRef>
        <a:effectRef xmlns:a="http://schemas.openxmlformats.org/drawingml/2006/main" idx="0">
          <a:schemeClr val="accent1">
            <a:hueOff val="0"/>
            <a:satOff val="0"/>
            <a:lumOff val="0"/>
            <a:alphaOff val="0"/>
          </a:schemeClr>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AR"/>
        </a:p>
      </cdr:txBody>
    </cdr:sp>
  </cdr:relSizeAnchor>
  <cdr:relSizeAnchor xmlns:cdr="http://schemas.openxmlformats.org/drawingml/2006/chartDrawing">
    <cdr:from>
      <cdr:x>0.72611</cdr:x>
      <cdr:y>0.60279</cdr:y>
    </cdr:from>
    <cdr:to>
      <cdr:x>0.87</cdr:x>
      <cdr:y>0.67128</cdr:y>
    </cdr:to>
    <cdr:sp macro="" textlink="">
      <cdr:nvSpPr>
        <cdr:cNvPr id="6" name="CuadroTexto 1">
          <a:extLst xmlns:a="http://schemas.openxmlformats.org/drawingml/2006/main">
            <a:ext uri="{FF2B5EF4-FFF2-40B4-BE49-F238E27FC236}">
              <a16:creationId xmlns:a16="http://schemas.microsoft.com/office/drawing/2014/main" id="{AED697FB-6482-DEFE-98F3-ED2351DD501A}"/>
            </a:ext>
          </a:extLst>
        </cdr:cNvPr>
        <cdr:cNvSpPr txBox="1"/>
      </cdr:nvSpPr>
      <cdr:spPr>
        <a:xfrm xmlns:a="http://schemas.openxmlformats.org/drawingml/2006/main">
          <a:off x="3319780" y="1653584"/>
          <a:ext cx="65786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2"/>
              </a:solidFill>
              <a:effectLst/>
              <a:ea typeface="Times New Roman" panose="02020603050405020304" pitchFamily="18" charset="0"/>
              <a:cs typeface="Times New Roman" panose="02020603050405020304" pitchFamily="18" charset="0"/>
            </a:rPr>
            <a:t>-22,2%</a:t>
          </a:r>
          <a:endParaRPr lang="es-AR" sz="1050">
            <a:solidFill>
              <a:schemeClr val="accent2"/>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0.77611</cdr:x>
      <cdr:y>0.52685</cdr:y>
    </cdr:from>
    <cdr:to>
      <cdr:x>0.90011</cdr:x>
      <cdr:y>0.69255</cdr:y>
    </cdr:to>
    <cdr:sp macro="" textlink="">
      <cdr:nvSpPr>
        <cdr:cNvPr id="7" name="Forma 6">
          <a:extLst xmlns:a="http://schemas.openxmlformats.org/drawingml/2006/main">
            <a:ext uri="{FF2B5EF4-FFF2-40B4-BE49-F238E27FC236}">
              <a16:creationId xmlns:a16="http://schemas.microsoft.com/office/drawing/2014/main" id="{E08CD44B-21A0-4CF9-71B5-6F63AB61D630}"/>
            </a:ext>
          </a:extLst>
        </cdr:cNvPr>
        <cdr:cNvSpPr/>
      </cdr:nvSpPr>
      <cdr:spPr>
        <a:xfrm xmlns:a="http://schemas.openxmlformats.org/drawingml/2006/main" rot="4077835">
          <a:off x="3604572" y="1389066"/>
          <a:ext cx="454542" cy="566929"/>
        </a:xfrm>
        <a:prstGeom xmlns:a="http://schemas.openxmlformats.org/drawingml/2006/main" prst="swooshArrow">
          <a:avLst>
            <a:gd name="adj1" fmla="val 15633"/>
            <a:gd name="adj2" fmla="val 31370"/>
          </a:avLst>
        </a:prstGeom>
        <a:solidFill xmlns:a="http://schemas.openxmlformats.org/drawingml/2006/main">
          <a:schemeClr val="accent2"/>
        </a:solidFill>
        <a:ln xmlns:a="http://schemas.openxmlformats.org/drawingml/2006/main">
          <a:noFill/>
        </a:ln>
        <a:scene3d xmlns:a="http://schemas.openxmlformats.org/drawingml/2006/main">
          <a:camera prst="orthographicFront">
            <a:rot lat="0" lon="0" rev="0"/>
          </a:camera>
          <a:lightRig rig="threePt" dir="t"/>
        </a:scene3d>
      </cdr:spPr>
      <cdr:style>
        <a:lnRef xmlns:a="http://schemas.openxmlformats.org/drawingml/2006/main" idx="2">
          <a:schemeClr val="lt1">
            <a:hueOff val="0"/>
            <a:satOff val="0"/>
            <a:lumOff val="0"/>
            <a:alphaOff val="0"/>
          </a:schemeClr>
        </a:lnRef>
        <a:fillRef xmlns:a="http://schemas.openxmlformats.org/drawingml/2006/main" idx="1">
          <a:schemeClr val="accent1">
            <a:hueOff val="0"/>
            <a:satOff val="0"/>
            <a:lumOff val="0"/>
            <a:alphaOff val="0"/>
          </a:schemeClr>
        </a:fillRef>
        <a:effectRef xmlns:a="http://schemas.openxmlformats.org/drawingml/2006/main" idx="0">
          <a:schemeClr val="accent1">
            <a:hueOff val="0"/>
            <a:satOff val="0"/>
            <a:lumOff val="0"/>
            <a:alphaOff val="0"/>
          </a:schemeClr>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AR"/>
        </a:p>
      </cdr:txBody>
    </cdr:sp>
  </cdr:relSizeAnchor>
</c:userShape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CFE1-6300-4F3D-9D3C-267BB37A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Luciana Perez</dc:creator>
  <cp:lastModifiedBy>María Luz Vera</cp:lastModifiedBy>
  <cp:revision>9</cp:revision>
  <cp:lastPrinted>2018-12-05T17:20:00Z</cp:lastPrinted>
  <dcterms:created xsi:type="dcterms:W3CDTF">2023-09-19T11:39:00Z</dcterms:created>
  <dcterms:modified xsi:type="dcterms:W3CDTF">2023-11-10T17:41:00Z</dcterms:modified>
</cp:coreProperties>
</file>