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77D961DA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3D74E6">
        <w:rPr>
          <w:i/>
        </w:rPr>
        <w:t>3 de julio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03658537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3741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52.473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B3741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junio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4D2F9637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B3741C">
        <w:rPr>
          <w:rFonts w:asciiTheme="minorHAnsi" w:hAnsiTheme="minorHAnsi"/>
        </w:rPr>
        <w:t>junio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B3741C">
        <w:rPr>
          <w:rFonts w:asciiTheme="minorHAnsi" w:hAnsiTheme="minorHAnsi"/>
          <w:b/>
        </w:rPr>
        <w:t>52.473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B3741C">
        <w:rPr>
          <w:rFonts w:asciiTheme="minorHAnsi" w:hAnsiTheme="minorHAnsi"/>
        </w:rPr>
        <w:t>una caída</w:t>
      </w:r>
      <w:r w:rsidR="00F40A6E">
        <w:rPr>
          <w:rFonts w:asciiTheme="minorHAnsi" w:hAnsiTheme="minorHAnsi"/>
        </w:rPr>
        <w:t xml:space="preserve"> del </w:t>
      </w:r>
      <w:r w:rsidR="00B3741C">
        <w:rPr>
          <w:rFonts w:asciiTheme="minorHAnsi" w:hAnsiTheme="minorHAnsi"/>
        </w:rPr>
        <w:t>22,1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B3741C">
        <w:rPr>
          <w:rFonts w:asciiTheme="minorHAnsi" w:hAnsiTheme="minorHAnsi"/>
        </w:rPr>
        <w:t>mayo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B3741C">
        <w:rPr>
          <w:rFonts w:asciiTheme="minorHAnsi" w:hAnsiTheme="minorHAnsi"/>
        </w:rPr>
        <w:t xml:space="preserve"> 214,8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B3741C">
        <w:rPr>
          <w:rFonts w:asciiTheme="minorHAnsi" w:hAnsiTheme="minorHAnsi"/>
        </w:rPr>
        <w:t>junio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6F2087">
        <w:rPr>
          <w:rFonts w:asciiTheme="minorHAnsi" w:hAnsiTheme="minorHAnsi"/>
        </w:rPr>
        <w:t>1</w:t>
      </w:r>
      <w:r w:rsidR="00B3741C">
        <w:rPr>
          <w:rFonts w:asciiTheme="minorHAnsi" w:hAnsiTheme="minorHAnsi"/>
        </w:rPr>
        <w:t>5</w:t>
      </w:r>
      <w:r w:rsidR="00865D61">
        <w:rPr>
          <w:rFonts w:asciiTheme="minorHAnsi" w:hAnsiTheme="minorHAnsi"/>
        </w:rPr>
        <w:t xml:space="preserve">% </w:t>
      </w:r>
      <w:r w:rsidR="00B3741C">
        <w:rPr>
          <w:rFonts w:asciiTheme="minorHAnsi" w:hAnsiTheme="minorHAnsi"/>
        </w:rPr>
        <w:t>inferior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7727E922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B3741C">
        <w:rPr>
          <w:rFonts w:asciiTheme="minorHAnsi" w:eastAsia="Calibri" w:hAnsiTheme="minorHAnsi" w:cs="Times New Roman"/>
          <w:b/>
          <w:color w:val="auto"/>
          <w:sz w:val="22"/>
          <w:szCs w:val="22"/>
        </w:rPr>
        <w:t>74.957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una</w:t>
      </w:r>
      <w:r w:rsidR="005D36D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baja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en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13,4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00,3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19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72312332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0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5249AA63" w14:textId="4E2112EA" w:rsidR="00A421A4" w:rsidRDefault="00A421A4" w:rsidP="00A421A4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Es de mencionar que l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pérdida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resulta inferior a la soportada por la Provincia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que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 mes de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ó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una caída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en sus recursos de aproximadamente el 1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6586EA50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B3741C">
        <w:rPr>
          <w:rFonts w:asciiTheme="minorHAnsi" w:hAnsiTheme="minorHAnsi"/>
        </w:rPr>
        <w:t>miércoles 10 de julio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B3741C">
        <w:rPr>
          <w:rFonts w:asciiTheme="minorHAnsi" w:hAnsiTheme="minorHAnsi"/>
        </w:rPr>
        <w:t>jueves 11 y el viernes 12 de julio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026885A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2032343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D1341C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A0870A0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0B4030D5" w:rsidR="00C81BC4" w:rsidRPr="00F54050" w:rsidRDefault="00F54050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-13,4</w:t>
                            </w:r>
                            <w:r w:rsidR="00C81BC4"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0B4030D5" w:rsidR="00C81BC4" w:rsidRPr="00F54050" w:rsidRDefault="00F54050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-13,4</w:t>
                      </w:r>
                      <w:r w:rsidR="00C81BC4"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0A77D95F" w:rsidR="008C7744" w:rsidRDefault="00F54050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C768B23">
                <wp:simplePos x="0" y="0"/>
                <wp:positionH relativeFrom="margin">
                  <wp:posOffset>5383530</wp:posOffset>
                </wp:positionH>
                <wp:positionV relativeFrom="paragraph">
                  <wp:posOffset>744855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0C3C9682" w:rsidR="008541A6" w:rsidRPr="00F54050" w:rsidRDefault="00F54050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-22,1</w:t>
                            </w:r>
                            <w:r w:rsidR="008541A6"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23.9pt;margin-top:58.6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" filled="f" stroked="f">
                <v:textbox style="mso-fit-shape-to-text:t">
                  <w:txbxContent>
                    <w:p w14:paraId="791CA5F0" w14:textId="0C3C9682" w:rsidR="008541A6" w:rsidRPr="00F54050" w:rsidRDefault="00F54050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-22,1</w:t>
                      </w:r>
                      <w:r w:rsidR="008541A6"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32DAC61D">
                <wp:simplePos x="0" y="0"/>
                <wp:positionH relativeFrom="margin">
                  <wp:posOffset>5241925</wp:posOffset>
                </wp:positionH>
                <wp:positionV relativeFrom="paragraph">
                  <wp:posOffset>880110</wp:posOffset>
                </wp:positionV>
                <wp:extent cx="331470" cy="474980"/>
                <wp:effectExtent l="42545" t="52705" r="34925" b="53975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6FE" id="Forma 20" o:spid="_x0000_s1026" style="position:absolute;margin-left:412.75pt;margin-top:69.3pt;width:26.1pt;height:37.4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" path="m,474980c36830,263878,108160,119363,213990,41434l209322,,331470,56419,227388,160337r-4669,-41434c129485,145291,55245,263983,,474980xe" fillcolor="#c0000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7C52C454">
                <wp:simplePos x="0" y="0"/>
                <wp:positionH relativeFrom="margin">
                  <wp:posOffset>4969521</wp:posOffset>
                </wp:positionH>
                <wp:positionV relativeFrom="paragraph">
                  <wp:posOffset>13017</wp:posOffset>
                </wp:positionV>
                <wp:extent cx="422910" cy="485775"/>
                <wp:effectExtent l="0" t="0" r="6000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5726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131E" id="Forma 20" o:spid="_x0000_s1026" style="position:absolute;margin-left:391.3pt;margin-top:1pt;width:33.3pt;height:38.25pt;rotation:3512430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" path="m,485775c46990,269875,143738,125571,290243,52864l284287,,422910,68190,305127,184957r-5957,-52863c170209,159081,70485,276975,,485775xe" fillcolor="#c0000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Pr="00F54050">
        <w:drawing>
          <wp:inline distT="0" distB="0" distL="0" distR="0" wp14:anchorId="7B1BB121" wp14:editId="0EED682D">
            <wp:extent cx="6050280" cy="3941337"/>
            <wp:effectExtent l="0" t="0" r="7620" b="2540"/>
            <wp:docPr id="205219985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12" cy="39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7E78285B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A54FCD">
        <w:rPr>
          <w:i/>
          <w:shd w:val="clear" w:color="auto" w:fill="FFFFFF"/>
        </w:rPr>
        <w:t>junio</w:t>
      </w:r>
      <w:r w:rsidR="00D6255C">
        <w:rPr>
          <w:i/>
          <w:shd w:val="clear" w:color="auto" w:fill="FFFFFF"/>
        </w:rPr>
        <w:t xml:space="preserve"> 2024</w:t>
      </w:r>
    </w:p>
    <w:p w14:paraId="32A9CD54" w14:textId="6F944A42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C929A3" w:rsidRPr="00C929A3">
        <w:drawing>
          <wp:inline distT="0" distB="0" distL="0" distR="0" wp14:anchorId="032FABBF" wp14:editId="50A83947">
            <wp:extent cx="5082540" cy="2535359"/>
            <wp:effectExtent l="0" t="0" r="0" b="0"/>
            <wp:docPr id="166222857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59" cy="25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40CA2730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4E82C325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C929A3">
        <w:rPr>
          <w:i/>
          <w:sz w:val="18"/>
          <w:shd w:val="clear" w:color="auto" w:fill="FFFFFF"/>
        </w:rPr>
        <w:t>mayo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C929A3">
        <w:rPr>
          <w:i/>
          <w:sz w:val="18"/>
          <w:shd w:val="clear" w:color="auto" w:fill="FFFFFF"/>
        </w:rPr>
        <w:t>junio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09AA" w14:textId="77777777" w:rsidR="00420949" w:rsidRDefault="00420949" w:rsidP="00AA6269">
      <w:pPr>
        <w:spacing w:after="0" w:line="240" w:lineRule="auto"/>
      </w:pPr>
      <w:r>
        <w:separator/>
      </w:r>
    </w:p>
  </w:endnote>
  <w:endnote w:type="continuationSeparator" w:id="0">
    <w:p w14:paraId="01AAA892" w14:textId="77777777" w:rsidR="00420949" w:rsidRDefault="0042094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97FD" w14:textId="77777777" w:rsidR="00420949" w:rsidRDefault="00420949" w:rsidP="00AA6269">
      <w:pPr>
        <w:spacing w:after="0" w:line="240" w:lineRule="auto"/>
      </w:pPr>
      <w:r>
        <w:separator/>
      </w:r>
    </w:p>
  </w:footnote>
  <w:footnote w:type="continuationSeparator" w:id="0">
    <w:p w14:paraId="222455CC" w14:textId="77777777" w:rsidR="00420949" w:rsidRDefault="0042094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D74E6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949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4E2F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94B8D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21A4"/>
    <w:rsid w:val="00A44E71"/>
    <w:rsid w:val="00A47D6E"/>
    <w:rsid w:val="00A50B9F"/>
    <w:rsid w:val="00A54658"/>
    <w:rsid w:val="00A54D2B"/>
    <w:rsid w:val="00A54FCD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055DF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41C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29A3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E09D1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3088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4050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16</cp:revision>
  <cp:lastPrinted>2018-12-05T17:20:00Z</cp:lastPrinted>
  <dcterms:created xsi:type="dcterms:W3CDTF">2024-03-06T18:51:00Z</dcterms:created>
  <dcterms:modified xsi:type="dcterms:W3CDTF">2024-07-03T12:52:00Z</dcterms:modified>
</cp:coreProperties>
</file>